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5E3D" w14:textId="7836B0B3" w:rsidR="00AF3DAC" w:rsidRPr="000E5BBC" w:rsidRDefault="00F444A6"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b/>
          <w:sz w:val="24"/>
          <w:szCs w:val="24"/>
        </w:rPr>
        <w:t xml:space="preserve">Villarreal y colaboradores                      </w:t>
      </w:r>
      <w:r w:rsidR="000E5BBC" w:rsidRPr="000E5BBC">
        <w:rPr>
          <w:rFonts w:ascii="Times New Roman" w:eastAsia="Arial" w:hAnsi="Times New Roman" w:cs="Times New Roman"/>
          <w:b/>
          <w:sz w:val="24"/>
          <w:szCs w:val="24"/>
        </w:rPr>
        <w:t xml:space="preserve">        </w:t>
      </w:r>
      <w:r w:rsidR="00CC5995">
        <w:rPr>
          <w:rFonts w:ascii="Times New Roman" w:eastAsia="Arial" w:hAnsi="Times New Roman" w:cs="Times New Roman"/>
          <w:b/>
          <w:sz w:val="24"/>
          <w:szCs w:val="24"/>
        </w:rPr>
        <w:t xml:space="preserve">             </w:t>
      </w:r>
      <w:r w:rsidRPr="000E5BBC">
        <w:rPr>
          <w:rFonts w:ascii="Times New Roman" w:eastAsia="Arial" w:hAnsi="Times New Roman" w:cs="Times New Roman"/>
          <w:sz w:val="24"/>
          <w:szCs w:val="24"/>
        </w:rPr>
        <w:t>Meningitis por Cryptococcus neoformans.</w:t>
      </w:r>
    </w:p>
    <w:p w14:paraId="10C04472" w14:textId="77777777" w:rsidR="00AF3DAC" w:rsidRPr="000E5BBC" w:rsidRDefault="00AF3DAC" w:rsidP="000E5BBC">
      <w:pPr>
        <w:spacing w:line="240" w:lineRule="auto"/>
        <w:rPr>
          <w:rFonts w:ascii="Times New Roman" w:eastAsia="Arial" w:hAnsi="Times New Roman" w:cs="Times New Roman"/>
          <w:b/>
          <w:sz w:val="24"/>
          <w:szCs w:val="24"/>
        </w:rPr>
      </w:pPr>
    </w:p>
    <w:p w14:paraId="3B0E8DAD" w14:textId="71863E72" w:rsidR="00AF3DAC" w:rsidRPr="000E5BBC" w:rsidRDefault="00F444A6" w:rsidP="000E5BBC">
      <w:pPr>
        <w:spacing w:line="240" w:lineRule="auto"/>
        <w:rPr>
          <w:rFonts w:ascii="Times New Roman" w:eastAsia="Arial" w:hAnsi="Times New Roman" w:cs="Times New Roman"/>
          <w:b/>
          <w:sz w:val="24"/>
          <w:szCs w:val="24"/>
        </w:rPr>
      </w:pPr>
      <w:r w:rsidRPr="000E5BBC">
        <w:rPr>
          <w:rFonts w:ascii="Times New Roman" w:eastAsia="Arial" w:hAnsi="Times New Roman" w:cs="Times New Roman"/>
          <w:b/>
          <w:sz w:val="24"/>
          <w:szCs w:val="24"/>
        </w:rPr>
        <w:t>Meningitis por Cryptococcus neoforma</w:t>
      </w:r>
      <w:r w:rsidR="000E5BBC" w:rsidRPr="000E5BBC">
        <w:rPr>
          <w:rFonts w:ascii="Times New Roman" w:eastAsia="Arial" w:hAnsi="Times New Roman" w:cs="Times New Roman"/>
          <w:b/>
          <w:sz w:val="24"/>
          <w:szCs w:val="24"/>
        </w:rPr>
        <w:t>ns asociado a pacientes con VIH en</w:t>
      </w:r>
      <w:r w:rsidRPr="000E5BBC">
        <w:rPr>
          <w:rFonts w:ascii="Times New Roman" w:eastAsia="Arial" w:hAnsi="Times New Roman" w:cs="Times New Roman"/>
          <w:b/>
          <w:sz w:val="24"/>
          <w:szCs w:val="24"/>
        </w:rPr>
        <w:t xml:space="preserve"> Panamá.</w:t>
      </w:r>
    </w:p>
    <w:p w14:paraId="06219767" w14:textId="0AAA1408" w:rsidR="00AF3DAC" w:rsidRPr="000E5BBC" w:rsidRDefault="00F444A6" w:rsidP="000E5BBC">
      <w:pPr>
        <w:spacing w:line="240" w:lineRule="auto"/>
        <w:rPr>
          <w:rFonts w:ascii="Times New Roman" w:eastAsia="Arial" w:hAnsi="Times New Roman" w:cs="Times New Roman"/>
          <w:b/>
          <w:sz w:val="24"/>
          <w:szCs w:val="24"/>
          <w:lang w:val="en-US"/>
        </w:rPr>
      </w:pPr>
      <w:r w:rsidRPr="000E5BBC">
        <w:rPr>
          <w:rFonts w:ascii="Times New Roman" w:eastAsia="Arial" w:hAnsi="Times New Roman" w:cs="Times New Roman"/>
          <w:b/>
          <w:sz w:val="24"/>
          <w:szCs w:val="24"/>
          <w:lang w:val="en-US"/>
        </w:rPr>
        <w:t>Cryptococcus neoformans men</w:t>
      </w:r>
      <w:r w:rsidR="000E5BBC" w:rsidRPr="000E5BBC">
        <w:rPr>
          <w:rFonts w:ascii="Times New Roman" w:eastAsia="Arial" w:hAnsi="Times New Roman" w:cs="Times New Roman"/>
          <w:b/>
          <w:sz w:val="24"/>
          <w:szCs w:val="24"/>
          <w:lang w:val="en-US"/>
        </w:rPr>
        <w:t>ingitis related to HIV patients in</w:t>
      </w:r>
      <w:r w:rsidRPr="000E5BBC">
        <w:rPr>
          <w:rFonts w:ascii="Times New Roman" w:eastAsia="Arial" w:hAnsi="Times New Roman" w:cs="Times New Roman"/>
          <w:b/>
          <w:sz w:val="24"/>
          <w:szCs w:val="24"/>
          <w:lang w:val="en-US"/>
        </w:rPr>
        <w:t xml:space="preserve"> Panama.</w:t>
      </w:r>
    </w:p>
    <w:p w14:paraId="66A4737E" w14:textId="6084AB51" w:rsidR="00AF3DAC" w:rsidRPr="000E5BBC" w:rsidRDefault="000E5BBC"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sz w:val="24"/>
          <w:szCs w:val="24"/>
        </w:rPr>
        <w:t>*Villarreal</w:t>
      </w:r>
      <w:r w:rsidR="00F444A6" w:rsidRPr="000E5BBC">
        <w:rPr>
          <w:rFonts w:ascii="Times New Roman" w:eastAsia="Arial" w:hAnsi="Times New Roman" w:cs="Times New Roman"/>
          <w:sz w:val="24"/>
          <w:szCs w:val="24"/>
        </w:rPr>
        <w:t xml:space="preserve"> Olmedo</w:t>
      </w:r>
      <w:r w:rsidRPr="000E5BBC">
        <w:rPr>
          <w:rFonts w:ascii="Times New Roman" w:eastAsia="Arial" w:hAnsi="Times New Roman" w:cs="Times New Roman"/>
          <w:sz w:val="24"/>
          <w:szCs w:val="24"/>
        </w:rPr>
        <w:t>;</w:t>
      </w:r>
      <w:r w:rsidR="00F444A6" w:rsidRPr="000E5BBC">
        <w:rPr>
          <w:rFonts w:ascii="Times New Roman" w:eastAsia="Arial" w:hAnsi="Times New Roman" w:cs="Times New Roman"/>
          <w:sz w:val="24"/>
          <w:szCs w:val="24"/>
        </w:rPr>
        <w:t xml:space="preserve"> </w:t>
      </w:r>
      <w:r w:rsidRPr="000E5BBC">
        <w:rPr>
          <w:rFonts w:ascii="Times New Roman" w:eastAsia="Arial" w:hAnsi="Times New Roman" w:cs="Times New Roman"/>
          <w:sz w:val="24"/>
          <w:szCs w:val="24"/>
        </w:rPr>
        <w:t>**</w:t>
      </w:r>
      <w:r w:rsidR="00F444A6" w:rsidRPr="000E5BBC">
        <w:rPr>
          <w:rFonts w:ascii="Times New Roman" w:eastAsia="Arial" w:hAnsi="Times New Roman" w:cs="Times New Roman"/>
          <w:sz w:val="24"/>
          <w:szCs w:val="24"/>
        </w:rPr>
        <w:t>Cantón, Alfredo</w:t>
      </w:r>
      <w:r w:rsidRPr="000E5BBC">
        <w:rPr>
          <w:rFonts w:ascii="Times New Roman" w:eastAsia="Arial" w:hAnsi="Times New Roman" w:cs="Times New Roman"/>
          <w:sz w:val="24"/>
          <w:szCs w:val="24"/>
        </w:rPr>
        <w:t>.</w:t>
      </w:r>
    </w:p>
    <w:p w14:paraId="4DEF8F20" w14:textId="5E7F9BB1" w:rsidR="00AF3DAC" w:rsidRPr="000E5BBC" w:rsidRDefault="000E5BBC"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sz w:val="24"/>
          <w:szCs w:val="24"/>
        </w:rPr>
        <w:t>*</w:t>
      </w:r>
      <w:r w:rsidR="00F444A6" w:rsidRPr="000E5BBC">
        <w:rPr>
          <w:rFonts w:ascii="Times New Roman" w:eastAsia="Arial" w:hAnsi="Times New Roman" w:cs="Times New Roman"/>
          <w:sz w:val="24"/>
          <w:szCs w:val="24"/>
        </w:rPr>
        <w:t>Unidad de Enfermedades Infecciosas, Hospital Irma De Lourdes Tzanetatos, Panamá.</w:t>
      </w:r>
    </w:p>
    <w:p w14:paraId="7A529D1B" w14:textId="7DED84C5" w:rsidR="00AF3DAC" w:rsidRPr="000E5BBC" w:rsidRDefault="000E5BBC"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sz w:val="24"/>
          <w:szCs w:val="24"/>
        </w:rPr>
        <w:t>**</w:t>
      </w:r>
      <w:r w:rsidR="00F444A6" w:rsidRPr="000E5BBC">
        <w:rPr>
          <w:rFonts w:ascii="Times New Roman" w:eastAsia="Arial" w:hAnsi="Times New Roman" w:cs="Times New Roman"/>
          <w:sz w:val="24"/>
          <w:szCs w:val="24"/>
        </w:rPr>
        <w:t>Servicio de Enfermedades Infecciosas, Hospital Dr. Arnulfo Arias Madrid, Panamá.</w:t>
      </w:r>
    </w:p>
    <w:p w14:paraId="129E2572" w14:textId="0E5709AE" w:rsidR="00AF3DAC" w:rsidRPr="000E5BBC" w:rsidRDefault="000E5BBC"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b/>
          <w:sz w:val="24"/>
          <w:szCs w:val="24"/>
        </w:rPr>
        <w:t>Correspondencia a</w:t>
      </w:r>
      <w:r w:rsidR="00F444A6" w:rsidRPr="000E5BBC">
        <w:rPr>
          <w:rFonts w:ascii="Times New Roman" w:eastAsia="Arial" w:hAnsi="Times New Roman" w:cs="Times New Roman"/>
          <w:b/>
          <w:sz w:val="24"/>
          <w:szCs w:val="24"/>
        </w:rPr>
        <w:t xml:space="preserve">: </w:t>
      </w:r>
      <w:hyperlink r:id="rId7" w:history="1">
        <w:r w:rsidR="00F444A6" w:rsidRPr="000E5BBC">
          <w:rPr>
            <w:rStyle w:val="Hipervnculo"/>
            <w:rFonts w:ascii="Times New Roman" w:eastAsia="Arial" w:hAnsi="Times New Roman" w:cs="Times New Roman"/>
            <w:sz w:val="24"/>
            <w:szCs w:val="24"/>
          </w:rPr>
          <w:t>villarreal.md@hotmail.com</w:t>
        </w:r>
      </w:hyperlink>
    </w:p>
    <w:p w14:paraId="7C377103" w14:textId="77777777" w:rsidR="000E5BBC" w:rsidRPr="000E5BBC" w:rsidRDefault="000E5BBC"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b/>
          <w:sz w:val="24"/>
          <w:szCs w:val="24"/>
        </w:rPr>
        <w:t xml:space="preserve">Palabras claves: </w:t>
      </w:r>
      <w:r w:rsidRPr="000E5BBC">
        <w:rPr>
          <w:rFonts w:ascii="Times New Roman" w:eastAsia="Arial" w:hAnsi="Times New Roman" w:cs="Times New Roman"/>
          <w:sz w:val="24"/>
          <w:szCs w:val="24"/>
        </w:rPr>
        <w:t>Cryptococcus neoformans, meningitis, VIH, SIDA, anfotericina B</w:t>
      </w:r>
    </w:p>
    <w:p w14:paraId="1E8743DD" w14:textId="1FD1B8DE" w:rsidR="000E5BBC" w:rsidRPr="000E5BBC" w:rsidRDefault="000E5BBC" w:rsidP="000E5BBC">
      <w:pPr>
        <w:spacing w:line="240" w:lineRule="auto"/>
        <w:rPr>
          <w:rFonts w:ascii="Times New Roman" w:eastAsia="Arial" w:hAnsi="Times New Roman" w:cs="Times New Roman"/>
          <w:sz w:val="24"/>
          <w:szCs w:val="24"/>
          <w:lang w:val="en-US"/>
        </w:rPr>
      </w:pPr>
      <w:r w:rsidRPr="000E5BBC">
        <w:rPr>
          <w:rFonts w:ascii="Times New Roman" w:eastAsia="Arial" w:hAnsi="Times New Roman" w:cs="Times New Roman"/>
          <w:b/>
          <w:sz w:val="24"/>
          <w:szCs w:val="24"/>
          <w:lang w:val="en-US"/>
        </w:rPr>
        <w:t xml:space="preserve">Key words: </w:t>
      </w:r>
      <w:r w:rsidRPr="000E5BBC">
        <w:rPr>
          <w:rFonts w:ascii="Times New Roman" w:eastAsia="Arial" w:hAnsi="Times New Roman" w:cs="Times New Roman"/>
          <w:sz w:val="24"/>
          <w:szCs w:val="24"/>
          <w:lang w:val="en-US"/>
        </w:rPr>
        <w:t>Cryptococcus neoformans, meningitis, HIV, AIDS, Amphotericin B.</w:t>
      </w:r>
    </w:p>
    <w:p w14:paraId="5D7FB6BA" w14:textId="63B0A54A" w:rsidR="00AF3DAC" w:rsidRDefault="00F444A6" w:rsidP="000E5BBC">
      <w:pPr>
        <w:spacing w:line="240" w:lineRule="auto"/>
        <w:rPr>
          <w:rFonts w:ascii="Times New Roman" w:eastAsia="Arial" w:hAnsi="Times New Roman" w:cs="Times New Roman"/>
          <w:sz w:val="24"/>
          <w:szCs w:val="24"/>
        </w:rPr>
      </w:pPr>
      <w:r w:rsidRPr="000E5BBC">
        <w:rPr>
          <w:rFonts w:ascii="Times New Roman" w:eastAsia="Arial" w:hAnsi="Times New Roman" w:cs="Times New Roman"/>
          <w:b/>
          <w:sz w:val="24"/>
          <w:szCs w:val="24"/>
        </w:rPr>
        <w:t>Declaración de conflicto de intereses:</w:t>
      </w:r>
      <w:r w:rsidR="000E5BBC" w:rsidRPr="000E5BBC">
        <w:rPr>
          <w:rFonts w:ascii="Times New Roman" w:eastAsia="Arial" w:hAnsi="Times New Roman" w:cs="Times New Roman"/>
          <w:b/>
          <w:sz w:val="24"/>
          <w:szCs w:val="24"/>
        </w:rPr>
        <w:t xml:space="preserve"> </w:t>
      </w:r>
      <w:r w:rsidRPr="000E5BBC">
        <w:rPr>
          <w:rFonts w:ascii="Times New Roman" w:eastAsia="Arial" w:hAnsi="Times New Roman" w:cs="Times New Roman"/>
          <w:sz w:val="24"/>
          <w:szCs w:val="24"/>
        </w:rPr>
        <w:t xml:space="preserve">Los autores declaran no tener conflictos de intereses </w:t>
      </w:r>
      <w:r w:rsidR="00A80F14" w:rsidRPr="000E5BBC">
        <w:rPr>
          <w:rFonts w:ascii="Times New Roman" w:eastAsia="Arial" w:hAnsi="Times New Roman" w:cs="Times New Roman"/>
          <w:sz w:val="24"/>
          <w:szCs w:val="24"/>
        </w:rPr>
        <w:t>para</w:t>
      </w:r>
      <w:r w:rsidRPr="000E5BBC">
        <w:rPr>
          <w:rFonts w:ascii="Times New Roman" w:eastAsia="Arial" w:hAnsi="Times New Roman" w:cs="Times New Roman"/>
          <w:sz w:val="24"/>
          <w:szCs w:val="24"/>
        </w:rPr>
        <w:t xml:space="preserve"> la realización de este estudio</w:t>
      </w:r>
      <w:r w:rsidR="000020CB">
        <w:rPr>
          <w:rFonts w:ascii="Times New Roman" w:eastAsia="Arial" w:hAnsi="Times New Roman" w:cs="Times New Roman"/>
          <w:sz w:val="24"/>
          <w:szCs w:val="24"/>
        </w:rPr>
        <w:t>.</w:t>
      </w:r>
    </w:p>
    <w:p w14:paraId="4D3ACBFE" w14:textId="7A971AB7" w:rsidR="000020CB" w:rsidRPr="000E5BBC" w:rsidRDefault="000020CB" w:rsidP="000E5BBC">
      <w:pPr>
        <w:spacing w:line="240" w:lineRule="auto"/>
        <w:rPr>
          <w:rFonts w:ascii="Times New Roman" w:eastAsia="Arial" w:hAnsi="Times New Roman" w:cs="Times New Roman"/>
          <w:b/>
          <w:sz w:val="24"/>
          <w:szCs w:val="24"/>
        </w:rPr>
      </w:pPr>
      <w:r>
        <w:rPr>
          <w:rFonts w:ascii="Times New Roman" w:eastAsia="Arial" w:hAnsi="Times New Roman" w:cs="Times New Roman"/>
          <w:sz w:val="24"/>
          <w:szCs w:val="24"/>
        </w:rPr>
        <w:t>Este estudio fue aprobado por el Comité de Bioética de la Caja de Seguro Social.</w:t>
      </w:r>
    </w:p>
    <w:p w14:paraId="723E8932" w14:textId="7A80B7FD" w:rsidR="00E60B9B" w:rsidRPr="00E60B9B" w:rsidRDefault="00E60B9B" w:rsidP="00E60B9B">
      <w:pPr>
        <w:spacing w:line="240" w:lineRule="auto"/>
        <w:rPr>
          <w:rFonts w:ascii="Times New Roman" w:eastAsia="Arial" w:hAnsi="Times New Roman" w:cs="Times New Roman"/>
          <w:sz w:val="24"/>
          <w:szCs w:val="24"/>
        </w:rPr>
      </w:pPr>
      <w:bookmarkStart w:id="0" w:name="_GoBack"/>
      <w:r w:rsidRPr="00E60B9B">
        <w:rPr>
          <w:rFonts w:ascii="Times New Roman" w:eastAsia="Arial" w:hAnsi="Times New Roman" w:cs="Times New Roman"/>
          <w:sz w:val="24"/>
          <w:szCs w:val="24"/>
        </w:rPr>
        <w:t xml:space="preserve">Recibido el </w:t>
      </w:r>
      <w:r w:rsidRPr="00E60B9B">
        <w:rPr>
          <w:rFonts w:ascii="Times New Roman" w:eastAsia="Arial" w:hAnsi="Times New Roman" w:cs="Times New Roman"/>
          <w:sz w:val="24"/>
          <w:szCs w:val="24"/>
        </w:rPr>
        <w:t>11 de octubre</w:t>
      </w:r>
      <w:r w:rsidRPr="00E60B9B">
        <w:rPr>
          <w:rFonts w:ascii="Times New Roman" w:eastAsia="Arial" w:hAnsi="Times New Roman" w:cs="Times New Roman"/>
          <w:sz w:val="24"/>
          <w:szCs w:val="24"/>
        </w:rPr>
        <w:t xml:space="preserve"> de 2019 y aceptado para publicación el </w:t>
      </w:r>
      <w:r w:rsidRPr="00E60B9B">
        <w:rPr>
          <w:rFonts w:ascii="Times New Roman" w:eastAsia="Arial" w:hAnsi="Times New Roman" w:cs="Times New Roman"/>
          <w:sz w:val="24"/>
          <w:szCs w:val="24"/>
        </w:rPr>
        <w:t>18 de febrero</w:t>
      </w:r>
      <w:r w:rsidRPr="00E60B9B">
        <w:rPr>
          <w:rFonts w:ascii="Times New Roman" w:eastAsia="Arial" w:hAnsi="Times New Roman" w:cs="Times New Roman"/>
          <w:sz w:val="24"/>
          <w:szCs w:val="24"/>
        </w:rPr>
        <w:t xml:space="preserve"> de 2020</w:t>
      </w:r>
      <w:r w:rsidRPr="00E60B9B">
        <w:rPr>
          <w:rFonts w:ascii="Times New Roman" w:eastAsia="Arial" w:hAnsi="Times New Roman" w:cs="Times New Roman"/>
          <w:sz w:val="24"/>
          <w:szCs w:val="24"/>
        </w:rPr>
        <w:t>.</w:t>
      </w:r>
    </w:p>
    <w:p w14:paraId="6422373A" w14:textId="77777777" w:rsidR="00E60B9B" w:rsidRPr="00E60B9B" w:rsidRDefault="00E60B9B" w:rsidP="00E60B9B">
      <w:pPr>
        <w:spacing w:line="240" w:lineRule="auto"/>
        <w:rPr>
          <w:rFonts w:ascii="Times New Roman" w:eastAsia="Arial" w:hAnsi="Times New Roman" w:cs="Times New Roman"/>
          <w:sz w:val="24"/>
          <w:szCs w:val="24"/>
        </w:rPr>
      </w:pPr>
    </w:p>
    <w:bookmarkEnd w:id="0"/>
    <w:p w14:paraId="4E5A68FF" w14:textId="0FADAAC7" w:rsidR="008A6966" w:rsidRDefault="00E60B9B" w:rsidP="00E60B9B">
      <w:pPr>
        <w:spacing w:line="240" w:lineRule="auto"/>
        <w:rPr>
          <w:rFonts w:ascii="Times New Roman" w:eastAsia="Arial" w:hAnsi="Times New Roman" w:cs="Times New Roman"/>
          <w:b/>
          <w:sz w:val="24"/>
          <w:szCs w:val="24"/>
        </w:rPr>
      </w:pPr>
      <w:r w:rsidRPr="00E60B9B">
        <w:rPr>
          <w:rFonts w:ascii="Times New Roman" w:eastAsia="Arial" w:hAnsi="Times New Roman" w:cs="Times New Roman"/>
          <w:b/>
          <w:sz w:val="24"/>
          <w:szCs w:val="24"/>
        </w:rPr>
        <w:t>Resumen</w:t>
      </w:r>
    </w:p>
    <w:p w14:paraId="0791F443" w14:textId="11E8E787" w:rsidR="00AF3DAC" w:rsidRDefault="00F444A6" w:rsidP="000E5BBC">
      <w:pPr>
        <w:spacing w:line="240" w:lineRule="auto"/>
        <w:rPr>
          <w:rFonts w:ascii="Times New Roman" w:eastAsia="Arial" w:hAnsi="Times New Roman" w:cs="Times New Roman"/>
          <w:b/>
          <w:color w:val="FF0000"/>
          <w:sz w:val="24"/>
          <w:szCs w:val="24"/>
        </w:rPr>
      </w:pPr>
      <w:r w:rsidRPr="000E5BBC">
        <w:rPr>
          <w:rFonts w:ascii="Times New Roman" w:eastAsia="Arial" w:hAnsi="Times New Roman" w:cs="Times New Roman"/>
          <w:b/>
          <w:sz w:val="24"/>
          <w:szCs w:val="24"/>
        </w:rPr>
        <w:t>Resumen</w:t>
      </w:r>
      <w:r w:rsidR="008A6966">
        <w:rPr>
          <w:rFonts w:ascii="Times New Roman" w:eastAsia="Arial" w:hAnsi="Times New Roman" w:cs="Times New Roman"/>
          <w:b/>
          <w:sz w:val="24"/>
          <w:szCs w:val="24"/>
        </w:rPr>
        <w:t xml:space="preserve"> </w:t>
      </w:r>
    </w:p>
    <w:p w14:paraId="6BED3BB8" w14:textId="05DF6A45" w:rsidR="001C118C" w:rsidRDefault="00DF5927" w:rsidP="00DF5927">
      <w:pPr>
        <w:spacing w:line="240" w:lineRule="auto"/>
        <w:rPr>
          <w:rFonts w:ascii="Times New Roman" w:eastAsia="Arial" w:hAnsi="Times New Roman" w:cs="Times New Roman"/>
          <w:sz w:val="24"/>
          <w:szCs w:val="24"/>
        </w:rPr>
      </w:pPr>
      <w:r w:rsidRPr="00DF5927">
        <w:rPr>
          <w:rFonts w:ascii="Times New Roman" w:eastAsia="Arial" w:hAnsi="Times New Roman" w:cs="Times New Roman"/>
          <w:b/>
          <w:sz w:val="24"/>
          <w:szCs w:val="24"/>
        </w:rPr>
        <w:t>Introducción</w:t>
      </w:r>
      <w:r>
        <w:rPr>
          <w:rFonts w:ascii="Times New Roman" w:eastAsia="Arial" w:hAnsi="Times New Roman" w:cs="Times New Roman"/>
          <w:sz w:val="24"/>
          <w:szCs w:val="24"/>
        </w:rPr>
        <w:t xml:space="preserve"> </w:t>
      </w:r>
      <w:r w:rsidR="00CC3C07" w:rsidRPr="005C45BF">
        <w:rPr>
          <w:rFonts w:ascii="Times New Roman" w:eastAsia="Arial" w:hAnsi="Times New Roman" w:cs="Times New Roman"/>
          <w:sz w:val="24"/>
          <w:szCs w:val="24"/>
        </w:rPr>
        <w:t>La meningitis criptocócica es una causa importante de mortalidad relacionado al SIDA en los países en vía de desarrollo, pudiendo ocasionar secuelas neurológicas, sobre todo en aquellos pacientes con recuentos de CD4 menor a 100 cel/microlitro</w:t>
      </w:r>
      <w:r w:rsidR="00CC3C07">
        <w:rPr>
          <w:rFonts w:ascii="Times New Roman" w:eastAsia="Arial" w:hAnsi="Times New Roman" w:cs="Times New Roman"/>
          <w:sz w:val="24"/>
          <w:szCs w:val="24"/>
        </w:rPr>
        <w:t xml:space="preserve">. </w:t>
      </w:r>
      <w:r w:rsidR="00CC3C07" w:rsidRPr="005C45BF">
        <w:rPr>
          <w:rFonts w:ascii="Times New Roman" w:eastAsia="Arial" w:hAnsi="Times New Roman" w:cs="Times New Roman"/>
          <w:sz w:val="24"/>
          <w:szCs w:val="24"/>
        </w:rPr>
        <w:t xml:space="preserve">Realizamos un estudio observacional, retrospectivo para evaluar la mortalidad, cuadro clínico, características citoquímicas y microbiológicas del líquido cefalorraquídeo, así como la respuesta al tratamiento de los pacientes con meningitis criptocócica y VIH. </w:t>
      </w:r>
      <w:r>
        <w:rPr>
          <w:rFonts w:ascii="Times New Roman" w:eastAsia="Arial" w:hAnsi="Times New Roman" w:cs="Times New Roman"/>
          <w:sz w:val="24"/>
          <w:szCs w:val="24"/>
        </w:rPr>
        <w:t xml:space="preserve">                                                                             </w:t>
      </w:r>
      <w:r w:rsidRPr="00DF5927">
        <w:rPr>
          <w:rFonts w:ascii="Times New Roman" w:eastAsia="Arial" w:hAnsi="Times New Roman" w:cs="Times New Roman"/>
          <w:b/>
          <w:sz w:val="24"/>
          <w:szCs w:val="24"/>
        </w:rPr>
        <w:t>Material y método</w:t>
      </w:r>
      <w:r w:rsidR="00CA56FD">
        <w:rPr>
          <w:rFonts w:ascii="Times New Roman" w:eastAsia="Arial" w:hAnsi="Times New Roman" w:cs="Times New Roman"/>
          <w:b/>
          <w:sz w:val="24"/>
          <w:szCs w:val="24"/>
        </w:rPr>
        <w:t xml:space="preserve"> </w:t>
      </w:r>
      <w:r w:rsidR="00CA56FD" w:rsidRPr="00CA56FD">
        <w:rPr>
          <w:rFonts w:ascii="Times New Roman" w:eastAsia="Arial" w:hAnsi="Times New Roman" w:cs="Times New Roman"/>
          <w:sz w:val="24"/>
          <w:szCs w:val="24"/>
        </w:rPr>
        <w:t>Realizamos un estudio observacional, retrospectivo para evaluar la mortalidad, cuadro clínico, características citoquímicas y microbiológicas del líquido cefalorraquídeo, así como la respuesta al tratamiento de los pacientes con meningitis criptocócica y VIH. que fueron admitidos en sala de Infectologia del Complejo Hospitalario Dr. Arnulfo Arias Madrid entre enero del 2013 a diciembre del 2015</w:t>
      </w:r>
      <w:r w:rsidR="00CA56FD">
        <w:rPr>
          <w:rFonts w:ascii="Times New Roman" w:eastAsia="Arial" w:hAnsi="Times New Roman" w:cs="Times New Roman"/>
          <w:sz w:val="24"/>
          <w:szCs w:val="24"/>
        </w:rPr>
        <w:t>.</w:t>
      </w:r>
      <w:r w:rsidR="00CA56FD" w:rsidRPr="00CA56FD">
        <w:t xml:space="preserve"> </w:t>
      </w:r>
      <w:r w:rsidR="00CA56FD" w:rsidRPr="00CA56FD">
        <w:rPr>
          <w:rFonts w:ascii="Times New Roman" w:eastAsia="Arial" w:hAnsi="Times New Roman" w:cs="Times New Roman"/>
          <w:sz w:val="24"/>
          <w:szCs w:val="24"/>
        </w:rPr>
        <w:t>Los datos recogidos de los expedientes, se anotaron en el instrumento de recolección para posteriormente crear una matriz de datos en Excel y posterior análisis con el programa estadístico IBM SPSS statistics data editor 23.</w:t>
      </w:r>
    </w:p>
    <w:p w14:paraId="007DF0ED" w14:textId="77777777" w:rsidR="00207D90" w:rsidRDefault="001C118C" w:rsidP="000E5BBC">
      <w:pPr>
        <w:spacing w:line="240" w:lineRule="auto"/>
        <w:rPr>
          <w:rFonts w:ascii="Times New Roman" w:eastAsia="Arial" w:hAnsi="Times New Roman" w:cs="Times New Roman"/>
          <w:sz w:val="24"/>
          <w:szCs w:val="24"/>
        </w:rPr>
      </w:pPr>
      <w:r w:rsidRPr="001C118C">
        <w:rPr>
          <w:rFonts w:ascii="Times New Roman" w:eastAsia="Arial" w:hAnsi="Times New Roman" w:cs="Times New Roman"/>
          <w:b/>
          <w:sz w:val="24"/>
          <w:szCs w:val="24"/>
        </w:rPr>
        <w:t>R</w:t>
      </w:r>
      <w:r>
        <w:rPr>
          <w:rFonts w:ascii="Times New Roman" w:eastAsia="Arial" w:hAnsi="Times New Roman" w:cs="Times New Roman"/>
          <w:b/>
          <w:sz w:val="24"/>
          <w:szCs w:val="24"/>
        </w:rPr>
        <w:t>e</w:t>
      </w:r>
      <w:r w:rsidRPr="001C118C">
        <w:rPr>
          <w:rFonts w:ascii="Times New Roman" w:eastAsia="Arial" w:hAnsi="Times New Roman" w:cs="Times New Roman"/>
          <w:b/>
          <w:sz w:val="24"/>
          <w:szCs w:val="24"/>
        </w:rPr>
        <w:t>sultados</w:t>
      </w:r>
      <w:r>
        <w:rPr>
          <w:rFonts w:ascii="Times New Roman" w:eastAsia="Arial" w:hAnsi="Times New Roman" w:cs="Times New Roman"/>
          <w:b/>
          <w:sz w:val="24"/>
          <w:szCs w:val="24"/>
        </w:rPr>
        <w:t xml:space="preserve"> </w:t>
      </w:r>
      <w:r w:rsidR="00CC3C07" w:rsidRPr="005C45BF">
        <w:rPr>
          <w:rFonts w:ascii="Times New Roman" w:eastAsia="Arial" w:hAnsi="Times New Roman" w:cs="Times New Roman"/>
          <w:sz w:val="24"/>
          <w:szCs w:val="24"/>
        </w:rPr>
        <w:t>De un total de 29 pacientes, 17 cumplieron los requisitos de inclusión: todos eran VIH positivo, de los cuales el 85% eran masculino, con edad promedio de 38 años y conteo de linfocitos T CD4 en 47 cel/microlitro (Tabla 1). El 58.8% (10/17) de los pacientes se presentaron sin alteración en el estado de consciencia o rigidez nucal (Figura 1).  Fiebre 52.9% (9/17) de los casos El síntoma capital fue la cefalea, en 16 de los 17 casos. La mediana en la presión de apertura fue de 31 cmH</w:t>
      </w:r>
      <w:r w:rsidR="00CC3C07" w:rsidRPr="005C45BF">
        <w:rPr>
          <w:rFonts w:ascii="Times New Roman" w:eastAsia="Arial" w:hAnsi="Times New Roman" w:cs="Times New Roman"/>
          <w:sz w:val="24"/>
          <w:szCs w:val="24"/>
          <w:vertAlign w:val="subscript"/>
        </w:rPr>
        <w:t>2</w:t>
      </w:r>
      <w:r w:rsidR="00CC3C07" w:rsidRPr="005C45BF">
        <w:rPr>
          <w:rFonts w:ascii="Times New Roman" w:eastAsia="Arial" w:hAnsi="Times New Roman" w:cs="Times New Roman"/>
          <w:sz w:val="24"/>
          <w:szCs w:val="24"/>
        </w:rPr>
        <w:t>O (12 y 54 cmH2O), con glóbulos blancos en 31 cel/mm</w:t>
      </w:r>
      <w:r w:rsidR="00CC3C07" w:rsidRPr="005C45BF">
        <w:rPr>
          <w:rFonts w:ascii="Times New Roman" w:eastAsia="Arial" w:hAnsi="Times New Roman" w:cs="Times New Roman"/>
          <w:sz w:val="24"/>
          <w:szCs w:val="24"/>
          <w:vertAlign w:val="superscript"/>
        </w:rPr>
        <w:t>3</w:t>
      </w:r>
      <w:r w:rsidR="00CC3C07" w:rsidRPr="005C45BF">
        <w:rPr>
          <w:rFonts w:ascii="Times New Roman" w:eastAsia="Arial" w:hAnsi="Times New Roman" w:cs="Times New Roman"/>
          <w:sz w:val="24"/>
          <w:szCs w:val="24"/>
        </w:rPr>
        <w:t xml:space="preserve"> (0 a 660 cel/mm3), glucosa 28.5 mg/dl (2 y 55 mg/dl) y proteínas en 124 g/L (33 a 401 g/L) (Figura 2). </w:t>
      </w:r>
      <w:r w:rsidR="00CC3C07" w:rsidRPr="005C45BF">
        <w:rPr>
          <w:rFonts w:ascii="Times New Roman" w:eastAsia="Arial" w:hAnsi="Times New Roman" w:cs="Times New Roman"/>
          <w:sz w:val="24"/>
          <w:szCs w:val="24"/>
        </w:rPr>
        <w:lastRenderedPageBreak/>
        <w:t xml:space="preserve">Todas las muestras de líquido cefalorraquídeo presentaban levadura encapsulada en la tinción con tinta china y se aisló Cryptococcus neoformans. El 70.6% de los pacientes recibieron anfotericina B deoxicolato más fluconazol. La mortalidad intrahospitalaria fue de 5.8% (1/17) con un promedio de 16 días de hospitalización (Tabla 1). </w:t>
      </w:r>
      <w:r w:rsidR="00CC3C07" w:rsidRPr="005C45BF">
        <w:rPr>
          <w:rFonts w:ascii="Times New Roman" w:eastAsia="Arial" w:hAnsi="Times New Roman" w:cs="Times New Roman"/>
          <w:b/>
          <w:sz w:val="24"/>
          <w:szCs w:val="24"/>
        </w:rPr>
        <w:t xml:space="preserve">                </w:t>
      </w:r>
      <w:r>
        <w:rPr>
          <w:rFonts w:ascii="Times New Roman" w:eastAsia="Arial" w:hAnsi="Times New Roman" w:cs="Times New Roman"/>
          <w:sz w:val="24"/>
          <w:szCs w:val="24"/>
        </w:rPr>
        <w:t xml:space="preserve">                                                              </w:t>
      </w:r>
      <w:r w:rsidRPr="001C118C">
        <w:rPr>
          <w:rFonts w:ascii="Times New Roman" w:eastAsia="Arial" w:hAnsi="Times New Roman" w:cs="Times New Roman"/>
          <w:b/>
          <w:sz w:val="24"/>
          <w:szCs w:val="24"/>
        </w:rPr>
        <w:t>Conclusión</w:t>
      </w:r>
      <w:r>
        <w:rPr>
          <w:rFonts w:ascii="Times New Roman" w:eastAsia="Arial" w:hAnsi="Times New Roman" w:cs="Times New Roman"/>
          <w:sz w:val="24"/>
          <w:szCs w:val="24"/>
        </w:rPr>
        <w:t xml:space="preserve"> </w:t>
      </w:r>
      <w:r w:rsidR="00CC3C07">
        <w:rPr>
          <w:rFonts w:ascii="Times New Roman" w:eastAsia="Arial" w:hAnsi="Times New Roman" w:cs="Times New Roman"/>
          <w:sz w:val="24"/>
          <w:szCs w:val="24"/>
        </w:rPr>
        <w:t>L</w:t>
      </w:r>
      <w:r w:rsidR="00CC3C07" w:rsidRPr="00AE03C9">
        <w:rPr>
          <w:rFonts w:ascii="Times New Roman" w:eastAsia="Arial" w:hAnsi="Times New Roman" w:cs="Times New Roman"/>
          <w:sz w:val="24"/>
          <w:szCs w:val="24"/>
        </w:rPr>
        <w:t xml:space="preserve">a cefalea </w:t>
      </w:r>
      <w:r w:rsidR="00CC3C07">
        <w:rPr>
          <w:rFonts w:ascii="Times New Roman" w:eastAsia="Arial" w:hAnsi="Times New Roman" w:cs="Times New Roman"/>
          <w:sz w:val="24"/>
          <w:szCs w:val="24"/>
        </w:rPr>
        <w:t xml:space="preserve">fue </w:t>
      </w:r>
      <w:r>
        <w:rPr>
          <w:rFonts w:ascii="Times New Roman" w:eastAsia="Arial" w:hAnsi="Times New Roman" w:cs="Times New Roman"/>
          <w:sz w:val="24"/>
          <w:szCs w:val="24"/>
        </w:rPr>
        <w:t>el principal síntoma.</w:t>
      </w:r>
      <w:r w:rsidR="00CC3C07" w:rsidRPr="00AE03C9">
        <w:rPr>
          <w:rFonts w:ascii="Times New Roman" w:eastAsia="Arial" w:hAnsi="Times New Roman" w:cs="Times New Roman"/>
          <w:sz w:val="24"/>
          <w:szCs w:val="24"/>
        </w:rPr>
        <w:t xml:space="preserve"> </w:t>
      </w:r>
      <w:r w:rsidRPr="00AE03C9">
        <w:rPr>
          <w:rFonts w:ascii="Times New Roman" w:eastAsia="Arial" w:hAnsi="Times New Roman" w:cs="Times New Roman"/>
          <w:sz w:val="24"/>
          <w:szCs w:val="24"/>
        </w:rPr>
        <w:t>Sin</w:t>
      </w:r>
      <w:r w:rsidR="00CC3C07" w:rsidRPr="00AE03C9">
        <w:rPr>
          <w:rFonts w:ascii="Times New Roman" w:eastAsia="Arial" w:hAnsi="Times New Roman" w:cs="Times New Roman"/>
          <w:sz w:val="24"/>
          <w:szCs w:val="24"/>
        </w:rPr>
        <w:t xml:space="preserve"> embargo, más de la mitad de nuestros pacientes no presentaron fiebre, signos meníngeos ni alteraciones neurológicas. La presión de apertura elevada es un hallazgo común, así como la pleocitosis con proteinorraquia. En los pacientes con VIH la terapia antirretroviral y los esquemas de anfotericina más fluconazol a dosis altas han logrado disminuir la mortalidad, sin embargo, en Panamá no contamos con flucitosina que es la primera línea de tratamiento, que podría disminuir aún más la mortalidad. </w:t>
      </w:r>
      <w:r w:rsidR="00CC3C07">
        <w:rPr>
          <w:rFonts w:ascii="Times New Roman" w:eastAsia="Arial" w:hAnsi="Times New Roman" w:cs="Times New Roman"/>
          <w:sz w:val="24"/>
          <w:szCs w:val="24"/>
        </w:rPr>
        <w:t>Se requieren</w:t>
      </w:r>
      <w:r w:rsidR="00CC3C07" w:rsidRPr="00AE03C9">
        <w:rPr>
          <w:rFonts w:ascii="Times New Roman" w:eastAsia="Arial" w:hAnsi="Times New Roman" w:cs="Times New Roman"/>
          <w:sz w:val="24"/>
          <w:szCs w:val="24"/>
        </w:rPr>
        <w:t xml:space="preserve"> pruebas de detección temprana para criptococo y así disminuir la morbimortalidad de estos pacientes. </w:t>
      </w:r>
      <w:r w:rsidR="00CC3C07" w:rsidRPr="005C45BF">
        <w:rPr>
          <w:rFonts w:ascii="Times New Roman" w:eastAsia="Arial" w:hAnsi="Times New Roman" w:cs="Times New Roman"/>
          <w:b/>
          <w:sz w:val="24"/>
          <w:szCs w:val="24"/>
        </w:rPr>
        <w:t xml:space="preserve">                                                                                                                 </w:t>
      </w:r>
      <w:r w:rsidR="00CA56FD">
        <w:rPr>
          <w:rFonts w:ascii="Times New Roman" w:eastAsia="Arial" w:hAnsi="Times New Roman" w:cs="Times New Roman"/>
          <w:sz w:val="24"/>
          <w:szCs w:val="24"/>
        </w:rPr>
        <w:t xml:space="preserve">                     </w:t>
      </w:r>
    </w:p>
    <w:p w14:paraId="042C6534" w14:textId="7A906EB0" w:rsidR="00CA56FD" w:rsidRPr="00CA56FD" w:rsidRDefault="008A6966" w:rsidP="000E5BBC">
      <w:pPr>
        <w:spacing w:line="240" w:lineRule="auto"/>
        <w:rPr>
          <w:rFonts w:ascii="Times New Roman" w:eastAsia="Arial" w:hAnsi="Times New Roman" w:cs="Times New Roman"/>
          <w:sz w:val="24"/>
          <w:szCs w:val="24"/>
        </w:rPr>
      </w:pPr>
      <w:r w:rsidRPr="00DF5927">
        <w:rPr>
          <w:rFonts w:ascii="Times New Roman" w:eastAsia="Arial" w:hAnsi="Times New Roman" w:cs="Times New Roman"/>
          <w:b/>
          <w:sz w:val="24"/>
          <w:szCs w:val="24"/>
          <w:lang w:val="en-US"/>
        </w:rPr>
        <w:t>Abstract</w:t>
      </w:r>
      <w:r w:rsidR="00CA56FD">
        <w:rPr>
          <w:rFonts w:ascii="Times New Roman" w:eastAsia="Arial" w:hAnsi="Times New Roman" w:cs="Times New Roman"/>
          <w:b/>
          <w:sz w:val="24"/>
          <w:szCs w:val="24"/>
          <w:lang w:val="en-US"/>
        </w:rPr>
        <w:t xml:space="preserve"> </w:t>
      </w:r>
    </w:p>
    <w:p w14:paraId="3D117580" w14:textId="6743EF3E" w:rsidR="00E30318" w:rsidRPr="00E30318" w:rsidRDefault="001C118C" w:rsidP="00207D90">
      <w:pPr>
        <w:spacing w:line="240" w:lineRule="auto"/>
        <w:rPr>
          <w:rFonts w:ascii="Times New Roman" w:eastAsia="Arial" w:hAnsi="Times New Roman" w:cs="Times New Roman"/>
          <w:bCs/>
          <w:sz w:val="24"/>
          <w:szCs w:val="24"/>
          <w:lang w:val="en-US"/>
        </w:rPr>
      </w:pPr>
      <w:r w:rsidRPr="001C118C">
        <w:rPr>
          <w:rFonts w:ascii="Times New Roman" w:eastAsia="Arial" w:hAnsi="Times New Roman" w:cs="Times New Roman"/>
          <w:b/>
          <w:bCs/>
          <w:sz w:val="24"/>
          <w:szCs w:val="24"/>
          <w:lang w:val="en-US"/>
        </w:rPr>
        <w:t>Introduction</w:t>
      </w:r>
      <w:r>
        <w:rPr>
          <w:rFonts w:ascii="Times New Roman" w:eastAsia="Arial" w:hAnsi="Times New Roman" w:cs="Times New Roman"/>
          <w:bCs/>
          <w:sz w:val="24"/>
          <w:szCs w:val="24"/>
          <w:lang w:val="en-US"/>
        </w:rPr>
        <w:t xml:space="preserve"> </w:t>
      </w:r>
      <w:r w:rsidR="00E30318" w:rsidRPr="00E30318">
        <w:rPr>
          <w:rFonts w:ascii="Times New Roman" w:eastAsia="Arial" w:hAnsi="Times New Roman" w:cs="Times New Roman"/>
          <w:bCs/>
          <w:sz w:val="24"/>
          <w:szCs w:val="24"/>
          <w:lang w:val="en-US"/>
        </w:rPr>
        <w:t>Cryptococcal meningitis is an important cause of AIDS-related mortality in developing countries, and can cause neurological sequelae, especially in patients with CD4 counts less than 100 cel / microliter.</w:t>
      </w:r>
      <w:r>
        <w:rPr>
          <w:rFonts w:ascii="Times New Roman" w:eastAsia="Arial" w:hAnsi="Times New Roman" w:cs="Times New Roman"/>
          <w:bCs/>
          <w:sz w:val="24"/>
          <w:szCs w:val="24"/>
          <w:lang w:val="en-US"/>
        </w:rPr>
        <w:t xml:space="preserve"> </w:t>
      </w:r>
      <w:r w:rsidR="00E30318" w:rsidRPr="00E30318">
        <w:rPr>
          <w:rFonts w:ascii="Times New Roman" w:eastAsia="Arial" w:hAnsi="Times New Roman" w:cs="Times New Roman"/>
          <w:bCs/>
          <w:sz w:val="24"/>
          <w:szCs w:val="24"/>
          <w:lang w:val="en-US"/>
        </w:rPr>
        <w:t>We performed an observational, retrospective study to assess mortality, clinical picture, cytochemical and microbiological characteristics of cerebrospinal fluid, as well as the response to treatment of patients with cryptococcal meningitis and HIV.</w:t>
      </w:r>
      <w:r>
        <w:rPr>
          <w:rFonts w:ascii="Times New Roman" w:eastAsia="Arial" w:hAnsi="Times New Roman" w:cs="Times New Roman"/>
          <w:bCs/>
          <w:sz w:val="24"/>
          <w:szCs w:val="24"/>
          <w:lang w:val="en-US"/>
        </w:rPr>
        <w:t xml:space="preserve"> </w:t>
      </w:r>
      <w:r w:rsidRPr="001C118C">
        <w:rPr>
          <w:rFonts w:ascii="Times New Roman" w:eastAsia="Arial" w:hAnsi="Times New Roman" w:cs="Times New Roman"/>
          <w:b/>
          <w:bCs/>
          <w:sz w:val="24"/>
          <w:szCs w:val="24"/>
          <w:lang w:val="en-US"/>
        </w:rPr>
        <w:t>Material and methods</w:t>
      </w:r>
      <w:r w:rsidR="00CA56FD" w:rsidRPr="00CA56FD">
        <w:rPr>
          <w:lang w:val="en-US"/>
        </w:rPr>
        <w:t xml:space="preserve"> </w:t>
      </w:r>
      <w:r w:rsidR="00CA56FD" w:rsidRPr="00CA56FD">
        <w:rPr>
          <w:rFonts w:ascii="Times New Roman" w:eastAsia="Arial" w:hAnsi="Times New Roman" w:cs="Times New Roman"/>
          <w:bCs/>
          <w:sz w:val="24"/>
          <w:szCs w:val="24"/>
          <w:lang w:val="en-US"/>
        </w:rPr>
        <w:t xml:space="preserve">We performed an observational, retrospective study to assess mortality, clinical picture, cytochemical and microbiological characteristics of cerebrospinal fluid, as well as the response to treatment of patients with cryptococcal meningitis and HIV. </w:t>
      </w:r>
      <w:proofErr w:type="gramStart"/>
      <w:r w:rsidR="00CA56FD" w:rsidRPr="00CA56FD">
        <w:rPr>
          <w:rFonts w:ascii="Times New Roman" w:eastAsia="Arial" w:hAnsi="Times New Roman" w:cs="Times New Roman"/>
          <w:bCs/>
          <w:sz w:val="24"/>
          <w:szCs w:val="24"/>
          <w:lang w:val="en-US"/>
        </w:rPr>
        <w:t>who</w:t>
      </w:r>
      <w:proofErr w:type="gramEnd"/>
      <w:r w:rsidR="00CA56FD" w:rsidRPr="00CA56FD">
        <w:rPr>
          <w:rFonts w:ascii="Times New Roman" w:eastAsia="Arial" w:hAnsi="Times New Roman" w:cs="Times New Roman"/>
          <w:bCs/>
          <w:sz w:val="24"/>
          <w:szCs w:val="24"/>
          <w:lang w:val="en-US"/>
        </w:rPr>
        <w:t xml:space="preserve"> were admitted to the Infectology room of the Dr. Arnulfo Arias Madrid Hospital Complex between January 2013 to December 2015. The data collected from the files was recorded in the collection instrument to later create a data matrix in Excel and subsequent analysis with the IBM SPSS statistics data editor 23. </w:t>
      </w:r>
      <w:r w:rsidR="00207D90">
        <w:rPr>
          <w:rFonts w:ascii="Times New Roman" w:eastAsia="Arial" w:hAnsi="Times New Roman" w:cs="Times New Roman"/>
          <w:bCs/>
          <w:sz w:val="24"/>
          <w:szCs w:val="24"/>
          <w:lang w:val="en-US"/>
        </w:rPr>
        <w:t xml:space="preserve">                                                                                                                        </w:t>
      </w:r>
      <w:r w:rsidRPr="001C118C">
        <w:rPr>
          <w:rFonts w:ascii="Times New Roman" w:eastAsia="Arial" w:hAnsi="Times New Roman" w:cs="Times New Roman"/>
          <w:b/>
          <w:bCs/>
          <w:sz w:val="24"/>
          <w:szCs w:val="24"/>
          <w:lang w:val="en-US"/>
        </w:rPr>
        <w:t>Results</w:t>
      </w:r>
      <w:r>
        <w:rPr>
          <w:rFonts w:ascii="Times New Roman" w:eastAsia="Arial" w:hAnsi="Times New Roman" w:cs="Times New Roman"/>
          <w:bCs/>
          <w:sz w:val="24"/>
          <w:szCs w:val="24"/>
          <w:lang w:val="en-US"/>
        </w:rPr>
        <w:t xml:space="preserve"> </w:t>
      </w:r>
      <w:r w:rsidR="00E30318" w:rsidRPr="00E30318">
        <w:rPr>
          <w:rFonts w:ascii="Times New Roman" w:eastAsia="Arial" w:hAnsi="Times New Roman" w:cs="Times New Roman"/>
          <w:bCs/>
          <w:sz w:val="24"/>
          <w:szCs w:val="24"/>
          <w:lang w:val="en-US"/>
        </w:rPr>
        <w:t>Of a total of 29 patients, 17 met the inclusion requirements: all were HIV positive, of which 85% were male, with an average age of 38 years and CD4 T lymphocyte count at 47 cell / microliter (Table 1). 58.8% (10/17) of the patients presented without alteration in the state of consciousness or nuchal rigidity (Figure 1). Fever 52.9% (9/17) of the cases the main symptom was headache, in 16 of the 17 cases. The median opening pressure was 31 cmH2O (12 and 54 cmH2O), with white blood cells at 31 cel / mm3 (0 to 660 cel / mm3), glucose 28.5 mg / dl (2 and 55 mg / dl) and protein. at 124 g / L (33 to 401 g / L) (Figure 2). All cerebrospinal fluid samples had yeast encapsulated in Indian ink staining and Cryptococcus neoformans was isolated. 70.6% of patients received amphotericin B deoxycholate plus fluconazole. In-hospital mortality was 5.8% (1/17) with an average of 16 days of hospitalization (Table 1).</w:t>
      </w:r>
      <w:r w:rsidR="00207D90">
        <w:rPr>
          <w:rFonts w:ascii="Times New Roman" w:eastAsia="Arial" w:hAnsi="Times New Roman" w:cs="Times New Roman"/>
          <w:bCs/>
          <w:sz w:val="24"/>
          <w:szCs w:val="24"/>
          <w:lang w:val="en-US"/>
        </w:rPr>
        <w:t xml:space="preserve">                      </w:t>
      </w:r>
      <w:r w:rsidRPr="001C118C">
        <w:rPr>
          <w:rFonts w:ascii="Times New Roman" w:eastAsia="Arial" w:hAnsi="Times New Roman" w:cs="Times New Roman"/>
          <w:b/>
          <w:bCs/>
          <w:sz w:val="24"/>
          <w:szCs w:val="24"/>
          <w:lang w:val="en-US"/>
        </w:rPr>
        <w:t>Conclusion</w:t>
      </w:r>
      <w:r>
        <w:rPr>
          <w:rFonts w:ascii="Times New Roman" w:eastAsia="Arial" w:hAnsi="Times New Roman" w:cs="Times New Roman"/>
          <w:bCs/>
          <w:sz w:val="24"/>
          <w:szCs w:val="24"/>
          <w:lang w:val="en-US"/>
        </w:rPr>
        <w:t xml:space="preserve"> </w:t>
      </w:r>
      <w:r w:rsidR="00E30318" w:rsidRPr="00E30318">
        <w:rPr>
          <w:rFonts w:ascii="Times New Roman" w:eastAsia="Arial" w:hAnsi="Times New Roman" w:cs="Times New Roman"/>
          <w:bCs/>
          <w:sz w:val="24"/>
          <w:szCs w:val="24"/>
          <w:lang w:val="en-US"/>
        </w:rPr>
        <w:t xml:space="preserve">Headache was the main symptom; however, more than half of our patients had no fever, meningeal signs, or neurological abnormalities. High opening pressure is a common finding, as is pleocytosis with proteinorrachy. In HIV patients, antiretroviral therapy and amphotericin plus fluconazole regimens at high doses have reduced mortality, however, in Panama we do not have flucytosine, which is the first line of treatment, which could further decrease mortality. Early detection tests are required for </w:t>
      </w:r>
      <w:r w:rsidRPr="00E30318">
        <w:rPr>
          <w:rFonts w:ascii="Times New Roman" w:eastAsia="Arial" w:hAnsi="Times New Roman" w:cs="Times New Roman"/>
          <w:bCs/>
          <w:sz w:val="24"/>
          <w:szCs w:val="24"/>
          <w:lang w:val="en-US"/>
        </w:rPr>
        <w:t>Cryptococcus</w:t>
      </w:r>
      <w:r w:rsidR="00E30318" w:rsidRPr="00E30318">
        <w:rPr>
          <w:rFonts w:ascii="Times New Roman" w:eastAsia="Arial" w:hAnsi="Times New Roman" w:cs="Times New Roman"/>
          <w:bCs/>
          <w:sz w:val="24"/>
          <w:szCs w:val="24"/>
          <w:lang w:val="en-US"/>
        </w:rPr>
        <w:t xml:space="preserve"> and thus decrease the morbidity and mortality of these patients.</w:t>
      </w:r>
    </w:p>
    <w:p w14:paraId="72059CD9" w14:textId="77777777" w:rsidR="006E4ECE" w:rsidRPr="00E30318" w:rsidRDefault="006E4ECE" w:rsidP="00AE03C9">
      <w:pPr>
        <w:spacing w:line="240" w:lineRule="auto"/>
        <w:rPr>
          <w:rFonts w:ascii="Times New Roman" w:eastAsia="Arial" w:hAnsi="Times New Roman" w:cs="Times New Roman"/>
          <w:b/>
          <w:sz w:val="24"/>
          <w:szCs w:val="24"/>
          <w:lang w:val="en-US"/>
        </w:rPr>
      </w:pPr>
    </w:p>
    <w:p w14:paraId="606B7A78" w14:textId="45ADF84C" w:rsidR="006E4ECE" w:rsidRPr="005C45BF" w:rsidRDefault="000E5BBC" w:rsidP="005C45BF">
      <w:pPr>
        <w:spacing w:line="240" w:lineRule="auto"/>
        <w:jc w:val="both"/>
        <w:rPr>
          <w:rFonts w:ascii="Times New Roman" w:eastAsia="Arial" w:hAnsi="Times New Roman" w:cs="Times New Roman"/>
          <w:b/>
          <w:sz w:val="24"/>
          <w:szCs w:val="24"/>
        </w:rPr>
      </w:pPr>
      <w:r w:rsidRPr="005C45BF">
        <w:rPr>
          <w:rFonts w:ascii="Times New Roman" w:eastAsia="Arial" w:hAnsi="Times New Roman" w:cs="Times New Roman"/>
          <w:b/>
          <w:sz w:val="24"/>
          <w:szCs w:val="24"/>
        </w:rPr>
        <w:t>Introducción</w:t>
      </w:r>
    </w:p>
    <w:p w14:paraId="1DF04D27" w14:textId="3B129052" w:rsidR="006E4ECE" w:rsidRPr="005C45BF" w:rsidRDefault="00F06F61" w:rsidP="005C45BF">
      <w:pPr>
        <w:spacing w:line="240" w:lineRule="auto"/>
        <w:jc w:val="both"/>
        <w:rPr>
          <w:rFonts w:ascii="Times New Roman" w:eastAsia="Arial" w:hAnsi="Times New Roman" w:cs="Times New Roman"/>
          <w:b/>
          <w:sz w:val="24"/>
          <w:szCs w:val="24"/>
        </w:rPr>
      </w:pPr>
      <w:r w:rsidRPr="005C45BF">
        <w:rPr>
          <w:rFonts w:ascii="Times New Roman" w:hAnsi="Times New Roman" w:cs="Times New Roman"/>
          <w:sz w:val="24"/>
          <w:szCs w:val="24"/>
        </w:rPr>
        <w:lastRenderedPageBreak/>
        <w:t>El criptococo es un hongo, que comúnmente vive en la tierra. Puede entrar en el cuerpo cuando respira el polvo o el excremento seco de pájaros</w:t>
      </w:r>
      <w:r w:rsidR="00C26521" w:rsidRPr="005C45BF">
        <w:rPr>
          <w:rFonts w:ascii="Times New Roman" w:hAnsi="Times New Roman" w:cs="Times New Roman"/>
          <w:sz w:val="24"/>
          <w:szCs w:val="24"/>
        </w:rPr>
        <w:t xml:space="preserve"> (1)</w:t>
      </w:r>
      <w:r w:rsidRPr="005C45BF">
        <w:rPr>
          <w:rFonts w:ascii="Times New Roman" w:hAnsi="Times New Roman" w:cs="Times New Roman"/>
          <w:sz w:val="24"/>
          <w:szCs w:val="24"/>
        </w:rPr>
        <w:t>. No parece transmitirse de persona a persona</w:t>
      </w:r>
      <w:r w:rsidR="00C26521" w:rsidRPr="005C45BF">
        <w:rPr>
          <w:rFonts w:ascii="Times New Roman" w:hAnsi="Times New Roman" w:cs="Times New Roman"/>
          <w:sz w:val="24"/>
          <w:szCs w:val="24"/>
        </w:rPr>
        <w:t xml:space="preserve"> (2)</w:t>
      </w:r>
      <w:r w:rsidRPr="005C45BF">
        <w:rPr>
          <w:rFonts w:ascii="Times New Roman" w:hAnsi="Times New Roman" w:cs="Times New Roman"/>
          <w:sz w:val="24"/>
          <w:szCs w:val="24"/>
        </w:rPr>
        <w:t xml:space="preserve">. </w:t>
      </w:r>
      <w:r w:rsidR="00F444A6" w:rsidRPr="005C45BF">
        <w:rPr>
          <w:rFonts w:ascii="Times New Roman" w:eastAsia="Arial" w:hAnsi="Times New Roman" w:cs="Times New Roman"/>
          <w:sz w:val="24"/>
          <w:szCs w:val="24"/>
        </w:rPr>
        <w:t>La meningitis criptocócica es una causa impo</w:t>
      </w:r>
      <w:r w:rsidR="00CC5995">
        <w:rPr>
          <w:rFonts w:ascii="Times New Roman" w:eastAsia="Arial" w:hAnsi="Times New Roman" w:cs="Times New Roman"/>
          <w:sz w:val="24"/>
          <w:szCs w:val="24"/>
        </w:rPr>
        <w:t>rtante de mortalidad relacionada</w:t>
      </w:r>
      <w:r w:rsidR="00F444A6" w:rsidRPr="005C45BF">
        <w:rPr>
          <w:rFonts w:ascii="Times New Roman" w:eastAsia="Arial" w:hAnsi="Times New Roman" w:cs="Times New Roman"/>
          <w:sz w:val="24"/>
          <w:szCs w:val="24"/>
        </w:rPr>
        <w:t xml:space="preserve"> al SIDA en los países en vía de desarrollo, pudiendo ocasionar secuelas neurológicas, sobre todo en aquellos pacientes con recuentos de CD4 menor a 100 cel/microlitro</w:t>
      </w:r>
      <w:r w:rsidR="00C26521" w:rsidRPr="005C45BF">
        <w:rPr>
          <w:rFonts w:ascii="Times New Roman" w:eastAsia="Arial" w:hAnsi="Times New Roman" w:cs="Times New Roman"/>
          <w:sz w:val="24"/>
          <w:szCs w:val="24"/>
        </w:rPr>
        <w:t xml:space="preserve"> (2)</w:t>
      </w:r>
      <w:r w:rsidR="00F444A6" w:rsidRPr="005C45BF">
        <w:rPr>
          <w:rFonts w:ascii="Times New Roman" w:eastAsia="Arial" w:hAnsi="Times New Roman" w:cs="Times New Roman"/>
          <w:sz w:val="24"/>
          <w:szCs w:val="24"/>
        </w:rPr>
        <w:t>. Para el año 2000 se present</w:t>
      </w:r>
      <w:r w:rsidR="00AE03C9" w:rsidRPr="005C45BF">
        <w:rPr>
          <w:rFonts w:ascii="Times New Roman" w:eastAsia="Arial" w:hAnsi="Times New Roman" w:cs="Times New Roman"/>
          <w:sz w:val="24"/>
          <w:szCs w:val="24"/>
        </w:rPr>
        <w:t>aban en Panamá 20 casos por año.</w:t>
      </w:r>
      <w:r w:rsidR="00F444A6" w:rsidRPr="005C45BF">
        <w:rPr>
          <w:rFonts w:ascii="Times New Roman" w:eastAsia="Arial" w:hAnsi="Times New Roman" w:cs="Times New Roman"/>
          <w:sz w:val="24"/>
          <w:szCs w:val="24"/>
        </w:rPr>
        <w:t xml:space="preserve"> </w:t>
      </w:r>
      <w:r w:rsidR="00AE03C9" w:rsidRPr="005C45BF">
        <w:rPr>
          <w:rFonts w:ascii="Times New Roman" w:eastAsia="Arial" w:hAnsi="Times New Roman" w:cs="Times New Roman"/>
          <w:sz w:val="24"/>
          <w:szCs w:val="24"/>
        </w:rPr>
        <w:t>Con</w:t>
      </w:r>
      <w:r w:rsidR="00F444A6" w:rsidRPr="005C45BF">
        <w:rPr>
          <w:rFonts w:ascii="Times New Roman" w:eastAsia="Arial" w:hAnsi="Times New Roman" w:cs="Times New Roman"/>
          <w:sz w:val="24"/>
          <w:szCs w:val="24"/>
        </w:rPr>
        <w:t xml:space="preserve"> la introducción de la triple terapia, hubo un</w:t>
      </w:r>
      <w:r w:rsidR="00AE03C9" w:rsidRPr="005C45BF">
        <w:rPr>
          <w:rFonts w:ascii="Times New Roman" w:eastAsia="Arial" w:hAnsi="Times New Roman" w:cs="Times New Roman"/>
          <w:sz w:val="24"/>
          <w:szCs w:val="24"/>
        </w:rPr>
        <w:t>a disminución a 4 casos por año. Si</w:t>
      </w:r>
      <w:r w:rsidR="00F444A6" w:rsidRPr="005C45BF">
        <w:rPr>
          <w:rFonts w:ascii="Times New Roman" w:eastAsia="Arial" w:hAnsi="Times New Roman" w:cs="Times New Roman"/>
          <w:sz w:val="24"/>
          <w:szCs w:val="24"/>
        </w:rPr>
        <w:t>n embargo, en los últimos 5 años se registran en promedio 6 casos por año, con una mortalidad que supera el 50%</w:t>
      </w:r>
      <w:r w:rsidR="00877129" w:rsidRPr="005C45BF">
        <w:rPr>
          <w:rFonts w:ascii="Times New Roman" w:eastAsia="Arial" w:hAnsi="Times New Roman" w:cs="Times New Roman"/>
          <w:sz w:val="24"/>
          <w:szCs w:val="24"/>
        </w:rPr>
        <w:t xml:space="preserve"> (1,3,4)</w:t>
      </w:r>
      <w:r w:rsidR="00F444A6" w:rsidRPr="005C45BF">
        <w:rPr>
          <w:rFonts w:ascii="Times New Roman" w:eastAsia="Arial" w:hAnsi="Times New Roman" w:cs="Times New Roman"/>
          <w:sz w:val="24"/>
          <w:szCs w:val="24"/>
        </w:rPr>
        <w:t xml:space="preserve">.  </w:t>
      </w:r>
      <w:r w:rsidRPr="005C45BF">
        <w:rPr>
          <w:rFonts w:ascii="Times New Roman" w:hAnsi="Times New Roman" w:cs="Times New Roman"/>
          <w:sz w:val="24"/>
          <w:szCs w:val="24"/>
        </w:rPr>
        <w:t>Los primeros síntomas de meningitis incluyen fiebre, fatiga, rigidez nucal, dolor de cabeza, náuseas y vómitos, confusión, visión borrosa o fotofobia a luz intensa. Los síntomas pueden aparecer progresivamente</w:t>
      </w:r>
      <w:r w:rsidR="00C26521" w:rsidRPr="005C45BF">
        <w:rPr>
          <w:rFonts w:ascii="Times New Roman" w:hAnsi="Times New Roman" w:cs="Times New Roman"/>
          <w:sz w:val="24"/>
          <w:szCs w:val="24"/>
        </w:rPr>
        <w:t xml:space="preserve"> (5,6)</w:t>
      </w:r>
      <w:r w:rsidRPr="005C45BF">
        <w:rPr>
          <w:rFonts w:ascii="Times New Roman" w:hAnsi="Times New Roman" w:cs="Times New Roman"/>
          <w:sz w:val="24"/>
          <w:szCs w:val="24"/>
        </w:rPr>
        <w:t>.</w:t>
      </w:r>
      <w:r w:rsidR="00CD23D9" w:rsidRPr="005C45BF">
        <w:rPr>
          <w:rFonts w:ascii="Times New Roman" w:eastAsia="Arial" w:hAnsi="Times New Roman" w:cs="Times New Roman"/>
          <w:b/>
          <w:sz w:val="24"/>
          <w:szCs w:val="24"/>
        </w:rPr>
        <w:t xml:space="preserve"> </w:t>
      </w:r>
      <w:r w:rsidR="003A36F1" w:rsidRPr="005C45BF">
        <w:rPr>
          <w:rFonts w:ascii="Times New Roman" w:eastAsia="Arial" w:hAnsi="Times New Roman" w:cs="Times New Roman"/>
          <w:bCs/>
          <w:sz w:val="24"/>
          <w:szCs w:val="24"/>
        </w:rPr>
        <w:t xml:space="preserve">Con este estudio buscamos analizar </w:t>
      </w:r>
      <w:r w:rsidRPr="005C45BF">
        <w:rPr>
          <w:rFonts w:ascii="Times New Roman" w:eastAsia="Arial" w:hAnsi="Times New Roman" w:cs="Times New Roman"/>
          <w:bCs/>
          <w:sz w:val="24"/>
          <w:szCs w:val="24"/>
        </w:rPr>
        <w:t xml:space="preserve">en nuestra población de pacientes con VIH, </w:t>
      </w:r>
      <w:r w:rsidR="003A36F1" w:rsidRPr="005C45BF">
        <w:rPr>
          <w:rFonts w:ascii="Times New Roman" w:eastAsia="Arial" w:hAnsi="Times New Roman" w:cs="Times New Roman"/>
          <w:bCs/>
          <w:sz w:val="24"/>
          <w:szCs w:val="24"/>
        </w:rPr>
        <w:t xml:space="preserve">las características </w:t>
      </w:r>
      <w:r w:rsidR="007E18D8" w:rsidRPr="005C45BF">
        <w:rPr>
          <w:rFonts w:ascii="Times New Roman" w:eastAsia="Arial" w:hAnsi="Times New Roman" w:cs="Times New Roman"/>
          <w:bCs/>
          <w:sz w:val="24"/>
          <w:szCs w:val="24"/>
        </w:rPr>
        <w:t>clínico</w:t>
      </w:r>
      <w:r w:rsidR="003A36F1" w:rsidRPr="005C45BF">
        <w:rPr>
          <w:rFonts w:ascii="Times New Roman" w:eastAsia="Arial" w:hAnsi="Times New Roman" w:cs="Times New Roman"/>
          <w:bCs/>
          <w:sz w:val="24"/>
          <w:szCs w:val="24"/>
        </w:rPr>
        <w:t xml:space="preserve"> epidemiológicas, características barométricas y citoquimicas del </w:t>
      </w:r>
      <w:r w:rsidR="007E18D8" w:rsidRPr="005C45BF">
        <w:rPr>
          <w:rFonts w:ascii="Times New Roman" w:eastAsia="Arial" w:hAnsi="Times New Roman" w:cs="Times New Roman"/>
          <w:bCs/>
          <w:sz w:val="24"/>
          <w:szCs w:val="24"/>
        </w:rPr>
        <w:t>líquido</w:t>
      </w:r>
      <w:r w:rsidR="007E18D8">
        <w:rPr>
          <w:rFonts w:ascii="Times New Roman" w:eastAsia="Arial" w:hAnsi="Times New Roman" w:cs="Times New Roman"/>
          <w:bCs/>
          <w:sz w:val="24"/>
          <w:szCs w:val="24"/>
        </w:rPr>
        <w:t xml:space="preserve"> cefalorraquídeo</w:t>
      </w:r>
      <w:r w:rsidR="003A36F1" w:rsidRPr="005C45BF">
        <w:rPr>
          <w:rFonts w:ascii="Times New Roman" w:eastAsia="Arial" w:hAnsi="Times New Roman" w:cs="Times New Roman"/>
          <w:bCs/>
          <w:sz w:val="24"/>
          <w:szCs w:val="24"/>
        </w:rPr>
        <w:t xml:space="preserve">, así como la mortalidad con </w:t>
      </w:r>
      <w:r w:rsidR="00C26521" w:rsidRPr="005C45BF">
        <w:rPr>
          <w:rFonts w:ascii="Times New Roman" w:eastAsia="Arial" w:hAnsi="Times New Roman" w:cs="Times New Roman"/>
          <w:bCs/>
          <w:sz w:val="24"/>
          <w:szCs w:val="24"/>
        </w:rPr>
        <w:t>los, esquemas</w:t>
      </w:r>
      <w:r w:rsidR="003A36F1" w:rsidRPr="005C45BF">
        <w:rPr>
          <w:rFonts w:ascii="Times New Roman" w:eastAsia="Arial" w:hAnsi="Times New Roman" w:cs="Times New Roman"/>
          <w:bCs/>
          <w:sz w:val="24"/>
          <w:szCs w:val="24"/>
        </w:rPr>
        <w:t xml:space="preserve"> de antifúngicos empleados en la actualidad</w:t>
      </w:r>
      <w:r w:rsidR="00C26521" w:rsidRPr="005C45BF">
        <w:rPr>
          <w:rFonts w:ascii="Times New Roman" w:eastAsia="Arial" w:hAnsi="Times New Roman" w:cs="Times New Roman"/>
          <w:bCs/>
          <w:sz w:val="24"/>
          <w:szCs w:val="24"/>
        </w:rPr>
        <w:t xml:space="preserve"> (7</w:t>
      </w:r>
      <w:r w:rsidR="007E18D8" w:rsidRPr="005C45BF">
        <w:rPr>
          <w:rFonts w:ascii="Times New Roman" w:eastAsia="Arial" w:hAnsi="Times New Roman" w:cs="Times New Roman"/>
          <w:bCs/>
          <w:sz w:val="24"/>
          <w:szCs w:val="24"/>
        </w:rPr>
        <w:t>, 8,9</w:t>
      </w:r>
      <w:r w:rsidR="00C26521" w:rsidRPr="005C45BF">
        <w:rPr>
          <w:rFonts w:ascii="Times New Roman" w:eastAsia="Arial" w:hAnsi="Times New Roman" w:cs="Times New Roman"/>
          <w:bCs/>
          <w:sz w:val="24"/>
          <w:szCs w:val="24"/>
        </w:rPr>
        <w:t>)</w:t>
      </w:r>
      <w:r w:rsidR="003A36F1" w:rsidRPr="005C45BF">
        <w:rPr>
          <w:rFonts w:ascii="Times New Roman" w:eastAsia="Arial" w:hAnsi="Times New Roman" w:cs="Times New Roman"/>
          <w:bCs/>
          <w:sz w:val="24"/>
          <w:szCs w:val="24"/>
        </w:rPr>
        <w:t xml:space="preserve">. </w:t>
      </w:r>
      <w:r w:rsidR="00CD23D9" w:rsidRPr="005C45BF">
        <w:rPr>
          <w:rFonts w:ascii="Times New Roman" w:eastAsia="Arial" w:hAnsi="Times New Roman" w:cs="Times New Roman"/>
          <w:bCs/>
          <w:color w:val="FF0000"/>
          <w:sz w:val="24"/>
          <w:szCs w:val="24"/>
        </w:rPr>
        <w:t xml:space="preserve"> </w:t>
      </w:r>
      <w:r w:rsidR="003A36F1" w:rsidRPr="005C45BF">
        <w:rPr>
          <w:rFonts w:ascii="Times New Roman" w:eastAsia="Arial" w:hAnsi="Times New Roman" w:cs="Times New Roman"/>
          <w:bCs/>
          <w:sz w:val="24"/>
          <w:szCs w:val="24"/>
        </w:rPr>
        <w:t xml:space="preserve">Un </w:t>
      </w:r>
      <w:r w:rsidR="007E18D8" w:rsidRPr="005C45BF">
        <w:rPr>
          <w:rFonts w:ascii="Times New Roman" w:eastAsia="Arial" w:hAnsi="Times New Roman" w:cs="Times New Roman"/>
          <w:bCs/>
          <w:sz w:val="24"/>
          <w:szCs w:val="24"/>
        </w:rPr>
        <w:t>diagnóstico</w:t>
      </w:r>
      <w:r w:rsidR="003A36F1" w:rsidRPr="005C45BF">
        <w:rPr>
          <w:rFonts w:ascii="Times New Roman" w:eastAsia="Arial" w:hAnsi="Times New Roman" w:cs="Times New Roman"/>
          <w:bCs/>
          <w:sz w:val="24"/>
          <w:szCs w:val="24"/>
        </w:rPr>
        <w:t xml:space="preserve"> temprano pudiera repercutir en las secuelas y mortalidad de estos pacientes</w:t>
      </w:r>
      <w:r w:rsidRPr="005C45BF">
        <w:rPr>
          <w:rFonts w:ascii="Times New Roman" w:eastAsia="Arial" w:hAnsi="Times New Roman" w:cs="Times New Roman"/>
          <w:bCs/>
          <w:sz w:val="24"/>
          <w:szCs w:val="24"/>
        </w:rPr>
        <w:t xml:space="preserve">, por lo que </w:t>
      </w:r>
      <w:r w:rsidR="007E18D8">
        <w:rPr>
          <w:rFonts w:ascii="Times New Roman" w:eastAsia="Arial" w:hAnsi="Times New Roman" w:cs="Times New Roman"/>
          <w:bCs/>
          <w:sz w:val="24"/>
          <w:szCs w:val="24"/>
        </w:rPr>
        <w:t xml:space="preserve">se debe </w:t>
      </w:r>
      <w:r w:rsidRPr="005C45BF">
        <w:rPr>
          <w:rFonts w:ascii="Times New Roman" w:eastAsia="Arial" w:hAnsi="Times New Roman" w:cs="Times New Roman"/>
          <w:bCs/>
          <w:sz w:val="24"/>
          <w:szCs w:val="24"/>
        </w:rPr>
        <w:t xml:space="preserve">realizar antígeno de criptococo en el suero de los pacientes asintomáticos con niveles de CD4 menor de 100 </w:t>
      </w:r>
      <w:r w:rsidRPr="005C45BF">
        <w:rPr>
          <w:rFonts w:ascii="Times New Roman" w:eastAsia="Arial" w:hAnsi="Times New Roman" w:cs="Times New Roman"/>
          <w:sz w:val="24"/>
          <w:szCs w:val="24"/>
        </w:rPr>
        <w:t>cel/microlitro</w:t>
      </w:r>
      <w:r w:rsidR="00C26521" w:rsidRPr="005C45BF">
        <w:rPr>
          <w:rFonts w:ascii="Times New Roman" w:eastAsia="Arial" w:hAnsi="Times New Roman" w:cs="Times New Roman"/>
          <w:sz w:val="24"/>
          <w:szCs w:val="24"/>
        </w:rPr>
        <w:t xml:space="preserve"> (10)</w:t>
      </w:r>
      <w:r w:rsidRPr="005C45BF">
        <w:rPr>
          <w:rFonts w:ascii="Times New Roman" w:eastAsia="Arial" w:hAnsi="Times New Roman" w:cs="Times New Roman"/>
          <w:sz w:val="24"/>
          <w:szCs w:val="24"/>
        </w:rPr>
        <w:t>.</w:t>
      </w:r>
      <w:r w:rsidR="00CD23D9" w:rsidRPr="005C45BF">
        <w:rPr>
          <w:rFonts w:ascii="Times New Roman" w:eastAsia="Arial" w:hAnsi="Times New Roman" w:cs="Times New Roman"/>
          <w:bCs/>
          <w:sz w:val="24"/>
          <w:szCs w:val="24"/>
        </w:rPr>
        <w:t xml:space="preserve">                     </w:t>
      </w:r>
      <w:r w:rsidR="00CD23D9" w:rsidRPr="005C45BF">
        <w:rPr>
          <w:rFonts w:ascii="Times New Roman" w:eastAsia="Arial" w:hAnsi="Times New Roman" w:cs="Times New Roman"/>
          <w:b/>
          <w:sz w:val="24"/>
          <w:szCs w:val="24"/>
        </w:rPr>
        <w:t xml:space="preserve">                                                   </w:t>
      </w:r>
    </w:p>
    <w:p w14:paraId="0FFAF4C1" w14:textId="290C263B" w:rsidR="006E4ECE" w:rsidRPr="007E18D8" w:rsidRDefault="008A6966" w:rsidP="005C45BF">
      <w:pPr>
        <w:spacing w:line="240" w:lineRule="auto"/>
        <w:jc w:val="both"/>
        <w:rPr>
          <w:rFonts w:ascii="Times New Roman" w:eastAsia="Arial" w:hAnsi="Times New Roman" w:cs="Times New Roman"/>
          <w:b/>
          <w:sz w:val="24"/>
          <w:szCs w:val="24"/>
        </w:rPr>
      </w:pPr>
      <w:r w:rsidRPr="007E18D8">
        <w:rPr>
          <w:rFonts w:ascii="Times New Roman" w:eastAsia="Arial" w:hAnsi="Times New Roman" w:cs="Times New Roman"/>
          <w:b/>
          <w:sz w:val="24"/>
          <w:szCs w:val="24"/>
        </w:rPr>
        <w:t xml:space="preserve">Material y </w:t>
      </w:r>
      <w:r w:rsidR="00F444A6" w:rsidRPr="007E18D8">
        <w:rPr>
          <w:rFonts w:ascii="Times New Roman" w:eastAsia="Arial" w:hAnsi="Times New Roman" w:cs="Times New Roman"/>
          <w:b/>
          <w:sz w:val="24"/>
          <w:szCs w:val="24"/>
        </w:rPr>
        <w:t>Método</w:t>
      </w:r>
    </w:p>
    <w:p w14:paraId="541EF086" w14:textId="7B67562F" w:rsidR="006E4ECE" w:rsidRPr="005C45BF" w:rsidRDefault="00F444A6" w:rsidP="005C45BF">
      <w:pPr>
        <w:spacing w:line="240" w:lineRule="auto"/>
        <w:jc w:val="both"/>
        <w:rPr>
          <w:rFonts w:ascii="Times New Roman" w:eastAsia="Arial" w:hAnsi="Times New Roman" w:cs="Times New Roman"/>
          <w:color w:val="FF0000"/>
          <w:sz w:val="24"/>
          <w:szCs w:val="24"/>
        </w:rPr>
      </w:pPr>
      <w:r w:rsidRPr="005C45BF">
        <w:rPr>
          <w:rFonts w:ascii="Times New Roman" w:eastAsia="Arial" w:hAnsi="Times New Roman" w:cs="Times New Roman"/>
          <w:sz w:val="24"/>
          <w:szCs w:val="24"/>
        </w:rPr>
        <w:t>Realizamos un estudio observacional, retrospectivo para evaluar la mortalidad, cuadro clínic</w:t>
      </w:r>
      <w:r w:rsidR="001A03CB" w:rsidRPr="005C45BF">
        <w:rPr>
          <w:rFonts w:ascii="Times New Roman" w:eastAsia="Arial" w:hAnsi="Times New Roman" w:cs="Times New Roman"/>
          <w:sz w:val="24"/>
          <w:szCs w:val="24"/>
        </w:rPr>
        <w:t>o, características citoquímicas</w:t>
      </w:r>
      <w:r w:rsidRPr="005C45BF">
        <w:rPr>
          <w:rFonts w:ascii="Times New Roman" w:eastAsia="Arial" w:hAnsi="Times New Roman" w:cs="Times New Roman"/>
          <w:sz w:val="24"/>
          <w:szCs w:val="24"/>
        </w:rPr>
        <w:t xml:space="preserve"> y microbiológica</w:t>
      </w:r>
      <w:r w:rsidR="001A03CB" w:rsidRPr="005C45BF">
        <w:rPr>
          <w:rFonts w:ascii="Times New Roman" w:eastAsia="Arial" w:hAnsi="Times New Roman" w:cs="Times New Roman"/>
          <w:sz w:val="24"/>
          <w:szCs w:val="24"/>
        </w:rPr>
        <w:t>s</w:t>
      </w:r>
      <w:r w:rsidRPr="005C45BF">
        <w:rPr>
          <w:rFonts w:ascii="Times New Roman" w:eastAsia="Arial" w:hAnsi="Times New Roman" w:cs="Times New Roman"/>
          <w:sz w:val="24"/>
          <w:szCs w:val="24"/>
        </w:rPr>
        <w:t xml:space="preserve"> del líquido cefalorraquídeo, así como la respuesta al tratamiento de los pacientes co</w:t>
      </w:r>
      <w:r w:rsidR="006E4ECE" w:rsidRPr="005C45BF">
        <w:rPr>
          <w:rFonts w:ascii="Times New Roman" w:eastAsia="Arial" w:hAnsi="Times New Roman" w:cs="Times New Roman"/>
          <w:sz w:val="24"/>
          <w:szCs w:val="24"/>
        </w:rPr>
        <w:t xml:space="preserve">n meningitis criptocócica y VIH. </w:t>
      </w:r>
    </w:p>
    <w:p w14:paraId="71EBBA18" w14:textId="2F06E210" w:rsidR="00CA7AA2" w:rsidRPr="005C45BF" w:rsidRDefault="006E4ECE" w:rsidP="005C45BF">
      <w:pPr>
        <w:pStyle w:val="Default"/>
        <w:jc w:val="both"/>
        <w:rPr>
          <w:rFonts w:ascii="Times New Roman" w:hAnsi="Times New Roman" w:cs="Times New Roman"/>
        </w:rPr>
      </w:pPr>
      <w:r w:rsidRPr="005C45BF">
        <w:rPr>
          <w:rFonts w:ascii="Times New Roman" w:eastAsia="Arial" w:hAnsi="Times New Roman" w:cs="Times New Roman"/>
        </w:rPr>
        <w:t xml:space="preserve"> </w:t>
      </w:r>
      <w:r w:rsidR="00CA7AA2" w:rsidRPr="005C45BF">
        <w:rPr>
          <w:rFonts w:ascii="Times New Roman" w:eastAsia="Arial" w:hAnsi="Times New Roman" w:cs="Times New Roman"/>
          <w:bCs/>
          <w:color w:val="auto"/>
        </w:rPr>
        <w:t>Se revisaron los expedientes clínicos de aquellos pacientes</w:t>
      </w:r>
      <w:r w:rsidR="00F06F61" w:rsidRPr="005C45BF">
        <w:rPr>
          <w:rFonts w:ascii="Times New Roman" w:eastAsia="Arial" w:hAnsi="Times New Roman" w:cs="Times New Roman"/>
          <w:bCs/>
          <w:color w:val="auto"/>
        </w:rPr>
        <w:t xml:space="preserve"> </w:t>
      </w:r>
      <w:r w:rsidR="00F06F61" w:rsidRPr="005C45BF">
        <w:rPr>
          <w:rFonts w:ascii="Times New Roman" w:hAnsi="Times New Roman" w:cs="Times New Roman"/>
          <w:bCs/>
          <w:color w:val="auto"/>
        </w:rPr>
        <w:t xml:space="preserve">con </w:t>
      </w:r>
      <w:r w:rsidR="00CA7AA2" w:rsidRPr="005C45BF">
        <w:rPr>
          <w:rFonts w:ascii="Times New Roman" w:hAnsi="Times New Roman" w:cs="Times New Roman"/>
          <w:bCs/>
          <w:color w:val="auto"/>
        </w:rPr>
        <w:t xml:space="preserve">diagnóstico de </w:t>
      </w:r>
      <w:r w:rsidR="00F06F61" w:rsidRPr="005C45BF">
        <w:rPr>
          <w:rFonts w:ascii="Times New Roman" w:hAnsi="Times New Roman" w:cs="Times New Roman"/>
          <w:bCs/>
          <w:color w:val="auto"/>
        </w:rPr>
        <w:t xml:space="preserve">VIH y meningitis por Cryptococcus, que fueron admitidos en sala de </w:t>
      </w:r>
      <w:r w:rsidR="007E18D8" w:rsidRPr="005C45BF">
        <w:rPr>
          <w:rFonts w:ascii="Times New Roman" w:hAnsi="Times New Roman" w:cs="Times New Roman"/>
          <w:bCs/>
          <w:color w:val="auto"/>
        </w:rPr>
        <w:t>Infectologia</w:t>
      </w:r>
      <w:r w:rsidR="00F06F61" w:rsidRPr="005C45BF">
        <w:rPr>
          <w:rFonts w:ascii="Times New Roman" w:hAnsi="Times New Roman" w:cs="Times New Roman"/>
          <w:bCs/>
          <w:color w:val="auto"/>
        </w:rPr>
        <w:t xml:space="preserve"> del Complejo Hospitalario Dr. Arnulfo Arias Madrid entre enero del 2</w:t>
      </w:r>
      <w:r w:rsidR="00F06F61" w:rsidRPr="005C45BF">
        <w:rPr>
          <w:rFonts w:ascii="Times New Roman" w:hAnsi="Times New Roman" w:cs="Times New Roman"/>
        </w:rPr>
        <w:t>013 a diciembre del 2015</w:t>
      </w:r>
      <w:r w:rsidR="00CA7AA2" w:rsidRPr="005C45BF">
        <w:rPr>
          <w:rFonts w:ascii="Times New Roman" w:eastAsia="Arial" w:hAnsi="Times New Roman" w:cs="Times New Roman"/>
          <w:bCs/>
        </w:rPr>
        <w:t xml:space="preserve">; todos los pacientes eran mayor de 18 años, con cultivos de </w:t>
      </w:r>
      <w:r w:rsidR="007E18D8" w:rsidRPr="005C45BF">
        <w:rPr>
          <w:rFonts w:ascii="Times New Roman" w:eastAsia="Arial" w:hAnsi="Times New Roman" w:cs="Times New Roman"/>
          <w:bCs/>
        </w:rPr>
        <w:t>líquido</w:t>
      </w:r>
      <w:r w:rsidR="00CA7AA2" w:rsidRPr="005C45BF">
        <w:rPr>
          <w:rFonts w:ascii="Times New Roman" w:eastAsia="Arial" w:hAnsi="Times New Roman" w:cs="Times New Roman"/>
          <w:bCs/>
        </w:rPr>
        <w:t xml:space="preserve"> cefalorraquídeo positivo para criptococos neoformans. No fueron incluidos aquellos pacientes que fueron admitidos a unidad de cuidados intensivos, </w:t>
      </w:r>
      <w:r w:rsidR="00CA7AA2" w:rsidRPr="005C45BF">
        <w:rPr>
          <w:rFonts w:ascii="Times New Roman" w:eastAsia="Arial" w:hAnsi="Times New Roman" w:cs="Times New Roman"/>
          <w:bCs/>
          <w:color w:val="auto"/>
        </w:rPr>
        <w:t xml:space="preserve">que, a pesar de encontrar </w:t>
      </w:r>
      <w:r w:rsidR="00CA7AA2" w:rsidRPr="005C45BF">
        <w:rPr>
          <w:rFonts w:ascii="Times New Roman" w:hAnsi="Times New Roman" w:cs="Times New Roman"/>
        </w:rPr>
        <w:t>levadura encapsulada en la tinta china, tenían cultivos negativos en líquido cefalorraquídeo y aquellos que fallecieron en las primeras 24 horas de la hospitalización y no tenían los estudios diagnósticos definitivos. Los datos recogidos de los expedientes, previa aprobación por el jefe de servicio y comité de ética, se anotaron en el instrumento de recolección para posteriormente crear una matriz de datos en Excel y posterior análisis con el programa estadístico IBM SPSS statistics data editor 23.</w:t>
      </w:r>
    </w:p>
    <w:p w14:paraId="04D60BDC" w14:textId="7B4F0C32" w:rsidR="006E4ECE" w:rsidRPr="005C45BF" w:rsidRDefault="00CD23D9" w:rsidP="005C45BF">
      <w:pPr>
        <w:spacing w:line="240" w:lineRule="auto"/>
        <w:jc w:val="both"/>
        <w:rPr>
          <w:rFonts w:ascii="Times New Roman" w:eastAsia="Arial" w:hAnsi="Times New Roman" w:cs="Times New Roman"/>
          <w:b/>
          <w:sz w:val="24"/>
          <w:szCs w:val="24"/>
        </w:rPr>
      </w:pPr>
      <w:r w:rsidRPr="005C45BF">
        <w:rPr>
          <w:rFonts w:ascii="Times New Roman" w:eastAsia="Arial" w:hAnsi="Times New Roman" w:cs="Times New Roman"/>
          <w:b/>
          <w:sz w:val="24"/>
          <w:szCs w:val="24"/>
        </w:rPr>
        <w:t xml:space="preserve">                   </w:t>
      </w:r>
    </w:p>
    <w:p w14:paraId="48CFE1E6" w14:textId="52236127" w:rsidR="006E4ECE" w:rsidRPr="005C45BF" w:rsidRDefault="001A03CB" w:rsidP="005C45BF">
      <w:pPr>
        <w:spacing w:line="240" w:lineRule="auto"/>
        <w:jc w:val="both"/>
        <w:rPr>
          <w:rFonts w:ascii="Times New Roman" w:eastAsia="Arial" w:hAnsi="Times New Roman" w:cs="Times New Roman"/>
          <w:b/>
          <w:sz w:val="24"/>
          <w:szCs w:val="24"/>
        </w:rPr>
      </w:pPr>
      <w:r w:rsidRPr="005C45BF">
        <w:rPr>
          <w:rFonts w:ascii="Times New Roman" w:eastAsia="Arial" w:hAnsi="Times New Roman" w:cs="Times New Roman"/>
          <w:b/>
          <w:sz w:val="24"/>
          <w:szCs w:val="24"/>
        </w:rPr>
        <w:t>Resultado</w:t>
      </w:r>
      <w:r w:rsidR="008A6966" w:rsidRPr="005C45BF">
        <w:rPr>
          <w:rFonts w:ascii="Times New Roman" w:eastAsia="Arial" w:hAnsi="Times New Roman" w:cs="Times New Roman"/>
          <w:b/>
          <w:sz w:val="24"/>
          <w:szCs w:val="24"/>
        </w:rPr>
        <w:t>s</w:t>
      </w:r>
    </w:p>
    <w:p w14:paraId="08E7F55F" w14:textId="361B463F" w:rsidR="006E4ECE" w:rsidRPr="005C45BF" w:rsidRDefault="00F444A6" w:rsidP="005C45BF">
      <w:pPr>
        <w:spacing w:line="240" w:lineRule="auto"/>
        <w:jc w:val="both"/>
        <w:rPr>
          <w:rFonts w:ascii="Times New Roman" w:eastAsia="Arial" w:hAnsi="Times New Roman" w:cs="Times New Roman"/>
          <w:sz w:val="24"/>
          <w:szCs w:val="24"/>
        </w:rPr>
      </w:pPr>
      <w:r w:rsidRPr="005C45BF">
        <w:rPr>
          <w:rFonts w:ascii="Times New Roman" w:eastAsia="Arial" w:hAnsi="Times New Roman" w:cs="Times New Roman"/>
          <w:sz w:val="24"/>
          <w:szCs w:val="24"/>
        </w:rPr>
        <w:t>De un total de 29 pacientes, 17 cumplie</w:t>
      </w:r>
      <w:r w:rsidR="001A03CB" w:rsidRPr="005C45BF">
        <w:rPr>
          <w:rFonts w:ascii="Times New Roman" w:eastAsia="Arial" w:hAnsi="Times New Roman" w:cs="Times New Roman"/>
          <w:sz w:val="24"/>
          <w:szCs w:val="24"/>
        </w:rPr>
        <w:t>ron los requisitos de inclusión:</w:t>
      </w:r>
      <w:r w:rsidRPr="005C45BF">
        <w:rPr>
          <w:rFonts w:ascii="Times New Roman" w:eastAsia="Arial" w:hAnsi="Times New Roman" w:cs="Times New Roman"/>
          <w:sz w:val="24"/>
          <w:szCs w:val="24"/>
        </w:rPr>
        <w:t xml:space="preserve"> todos eran VIH positivo, de los cuales el 85% eran masculino, con edad promedio de 38 años y conteo de linfocito</w:t>
      </w:r>
      <w:r w:rsidR="001A03CB" w:rsidRPr="005C45BF">
        <w:rPr>
          <w:rFonts w:ascii="Times New Roman" w:eastAsia="Arial" w:hAnsi="Times New Roman" w:cs="Times New Roman"/>
          <w:sz w:val="24"/>
          <w:szCs w:val="24"/>
        </w:rPr>
        <w:t>s T CD4 en 47 cel/microlitro</w:t>
      </w:r>
      <w:r w:rsidR="00787571" w:rsidRPr="005C45BF">
        <w:rPr>
          <w:rFonts w:ascii="Times New Roman" w:eastAsia="Arial" w:hAnsi="Times New Roman" w:cs="Times New Roman"/>
          <w:sz w:val="24"/>
          <w:szCs w:val="24"/>
        </w:rPr>
        <w:t xml:space="preserve"> (Tabla 1).</w:t>
      </w:r>
      <w:r w:rsidRPr="005C45BF">
        <w:rPr>
          <w:rFonts w:ascii="Times New Roman" w:eastAsia="Arial" w:hAnsi="Times New Roman" w:cs="Times New Roman"/>
          <w:sz w:val="24"/>
          <w:szCs w:val="24"/>
        </w:rPr>
        <w:t xml:space="preserve"> </w:t>
      </w:r>
      <w:r w:rsidR="001A03CB" w:rsidRPr="005C45BF">
        <w:rPr>
          <w:rFonts w:ascii="Times New Roman" w:eastAsia="Arial" w:hAnsi="Times New Roman" w:cs="Times New Roman"/>
          <w:sz w:val="24"/>
          <w:szCs w:val="24"/>
        </w:rPr>
        <w:t>El</w:t>
      </w:r>
      <w:r w:rsidRPr="005C45BF">
        <w:rPr>
          <w:rFonts w:ascii="Times New Roman" w:eastAsia="Arial" w:hAnsi="Times New Roman" w:cs="Times New Roman"/>
          <w:sz w:val="24"/>
          <w:szCs w:val="24"/>
        </w:rPr>
        <w:t xml:space="preserve"> 58.8% (10/17) de los pacientes se presentaron sin alteración en el estado</w:t>
      </w:r>
      <w:r w:rsidR="001A03CB" w:rsidRPr="005C45BF">
        <w:rPr>
          <w:rFonts w:ascii="Times New Roman" w:eastAsia="Arial" w:hAnsi="Times New Roman" w:cs="Times New Roman"/>
          <w:sz w:val="24"/>
          <w:szCs w:val="24"/>
        </w:rPr>
        <w:t xml:space="preserve"> de consciencia o rigidez nucal</w:t>
      </w:r>
      <w:r w:rsidR="00787571" w:rsidRPr="005C45BF">
        <w:rPr>
          <w:rFonts w:ascii="Times New Roman" w:eastAsia="Arial" w:hAnsi="Times New Roman" w:cs="Times New Roman"/>
          <w:sz w:val="24"/>
          <w:szCs w:val="24"/>
        </w:rPr>
        <w:t xml:space="preserve"> (Figura 1)</w:t>
      </w:r>
      <w:r w:rsidR="001A03CB" w:rsidRPr="005C45BF">
        <w:rPr>
          <w:rFonts w:ascii="Times New Roman" w:eastAsia="Arial" w:hAnsi="Times New Roman" w:cs="Times New Roman"/>
          <w:sz w:val="24"/>
          <w:szCs w:val="24"/>
        </w:rPr>
        <w:t xml:space="preserve">. </w:t>
      </w:r>
      <w:r w:rsidRPr="005C45BF">
        <w:rPr>
          <w:rFonts w:ascii="Times New Roman" w:eastAsia="Arial" w:hAnsi="Times New Roman" w:cs="Times New Roman"/>
          <w:sz w:val="24"/>
          <w:szCs w:val="24"/>
        </w:rPr>
        <w:t xml:space="preserve"> </w:t>
      </w:r>
      <w:r w:rsidR="001A03CB" w:rsidRPr="005C45BF">
        <w:rPr>
          <w:rFonts w:ascii="Times New Roman" w:eastAsia="Arial" w:hAnsi="Times New Roman" w:cs="Times New Roman"/>
          <w:sz w:val="24"/>
          <w:szCs w:val="24"/>
        </w:rPr>
        <w:t>Fiebre 52.9% (9/17) de los casos</w:t>
      </w:r>
      <w:r w:rsidR="000020CB">
        <w:rPr>
          <w:rFonts w:ascii="Times New Roman" w:eastAsia="Arial" w:hAnsi="Times New Roman" w:cs="Times New Roman"/>
          <w:sz w:val="24"/>
          <w:szCs w:val="24"/>
        </w:rPr>
        <w:t>.</w:t>
      </w:r>
      <w:r w:rsidR="001A03CB" w:rsidRPr="005C45BF">
        <w:rPr>
          <w:rFonts w:ascii="Times New Roman" w:eastAsia="Arial" w:hAnsi="Times New Roman" w:cs="Times New Roman"/>
          <w:sz w:val="24"/>
          <w:szCs w:val="24"/>
        </w:rPr>
        <w:t xml:space="preserve"> E</w:t>
      </w:r>
      <w:r w:rsidRPr="005C45BF">
        <w:rPr>
          <w:rFonts w:ascii="Times New Roman" w:eastAsia="Arial" w:hAnsi="Times New Roman" w:cs="Times New Roman"/>
          <w:sz w:val="24"/>
          <w:szCs w:val="24"/>
        </w:rPr>
        <w:t>l síntoma capital fue la cefalea, en 16 de los 17 casos. La mediana en la presión de apertura fue de 31 cmH</w:t>
      </w:r>
      <w:r w:rsidRPr="005C45BF">
        <w:rPr>
          <w:rFonts w:ascii="Times New Roman" w:eastAsia="Arial" w:hAnsi="Times New Roman" w:cs="Times New Roman"/>
          <w:sz w:val="24"/>
          <w:szCs w:val="24"/>
          <w:vertAlign w:val="subscript"/>
        </w:rPr>
        <w:t>2</w:t>
      </w:r>
      <w:r w:rsidRPr="005C45BF">
        <w:rPr>
          <w:rFonts w:ascii="Times New Roman" w:eastAsia="Arial" w:hAnsi="Times New Roman" w:cs="Times New Roman"/>
          <w:sz w:val="24"/>
          <w:szCs w:val="24"/>
        </w:rPr>
        <w:t>O (12 y 54 cmH2O), con glóbulos blancos en 31 cel/mm</w:t>
      </w:r>
      <w:r w:rsidRPr="005C45BF">
        <w:rPr>
          <w:rFonts w:ascii="Times New Roman" w:eastAsia="Arial" w:hAnsi="Times New Roman" w:cs="Times New Roman"/>
          <w:sz w:val="24"/>
          <w:szCs w:val="24"/>
          <w:vertAlign w:val="superscript"/>
        </w:rPr>
        <w:t>3</w:t>
      </w:r>
      <w:r w:rsidRPr="005C45BF">
        <w:rPr>
          <w:rFonts w:ascii="Times New Roman" w:eastAsia="Arial" w:hAnsi="Times New Roman" w:cs="Times New Roman"/>
          <w:sz w:val="24"/>
          <w:szCs w:val="24"/>
        </w:rPr>
        <w:t xml:space="preserve"> (0 a 660 cel/mm3), glucosa 28.5 mg/dl (2 y 55 mg/dl) y prot</w:t>
      </w:r>
      <w:r w:rsidR="001A03CB" w:rsidRPr="005C45BF">
        <w:rPr>
          <w:rFonts w:ascii="Times New Roman" w:eastAsia="Arial" w:hAnsi="Times New Roman" w:cs="Times New Roman"/>
          <w:sz w:val="24"/>
          <w:szCs w:val="24"/>
        </w:rPr>
        <w:t>eínas en 124 g/L (33 a 401 g/L)</w:t>
      </w:r>
      <w:r w:rsidR="00787571" w:rsidRPr="005C45BF">
        <w:rPr>
          <w:rFonts w:ascii="Times New Roman" w:eastAsia="Arial" w:hAnsi="Times New Roman" w:cs="Times New Roman"/>
          <w:sz w:val="24"/>
          <w:szCs w:val="24"/>
        </w:rPr>
        <w:t xml:space="preserve"> (Figura</w:t>
      </w:r>
      <w:r w:rsidR="005E5719" w:rsidRPr="005C45BF">
        <w:rPr>
          <w:rFonts w:ascii="Times New Roman" w:eastAsia="Arial" w:hAnsi="Times New Roman" w:cs="Times New Roman"/>
          <w:sz w:val="24"/>
          <w:szCs w:val="24"/>
        </w:rPr>
        <w:t xml:space="preserve"> </w:t>
      </w:r>
      <w:r w:rsidR="00787571" w:rsidRPr="005C45BF">
        <w:rPr>
          <w:rFonts w:ascii="Times New Roman" w:eastAsia="Arial" w:hAnsi="Times New Roman" w:cs="Times New Roman"/>
          <w:sz w:val="24"/>
          <w:szCs w:val="24"/>
        </w:rPr>
        <w:t>2)</w:t>
      </w:r>
      <w:r w:rsidR="001A03CB" w:rsidRPr="005C45BF">
        <w:rPr>
          <w:rFonts w:ascii="Times New Roman" w:eastAsia="Arial" w:hAnsi="Times New Roman" w:cs="Times New Roman"/>
          <w:sz w:val="24"/>
          <w:szCs w:val="24"/>
        </w:rPr>
        <w:t>.</w:t>
      </w:r>
      <w:r w:rsidRPr="005C45BF">
        <w:rPr>
          <w:rFonts w:ascii="Times New Roman" w:eastAsia="Arial" w:hAnsi="Times New Roman" w:cs="Times New Roman"/>
          <w:sz w:val="24"/>
          <w:szCs w:val="24"/>
        </w:rPr>
        <w:t xml:space="preserve"> </w:t>
      </w:r>
      <w:r w:rsidR="001A03CB" w:rsidRPr="005C45BF">
        <w:rPr>
          <w:rFonts w:ascii="Times New Roman" w:eastAsia="Arial" w:hAnsi="Times New Roman" w:cs="Times New Roman"/>
          <w:sz w:val="24"/>
          <w:szCs w:val="24"/>
        </w:rPr>
        <w:t>Todas</w:t>
      </w:r>
      <w:r w:rsidRPr="005C45BF">
        <w:rPr>
          <w:rFonts w:ascii="Times New Roman" w:eastAsia="Arial" w:hAnsi="Times New Roman" w:cs="Times New Roman"/>
          <w:sz w:val="24"/>
          <w:szCs w:val="24"/>
        </w:rPr>
        <w:t xml:space="preserve"> las muestras de líquido cefalorraquídeo presentaban levadura encapsulada en la tinción con tinta china y se aisló Cryptococcus neoformans. El 70.6% de los pacientes recibieron anfotericina B deoxicolato más fluconazol. La mortalidad intrahospitalaria fue de 5.8% (1/17) con un promedio de 16 días de hospitalización</w:t>
      </w:r>
      <w:r w:rsidR="00787571" w:rsidRPr="005C45BF">
        <w:rPr>
          <w:rFonts w:ascii="Times New Roman" w:eastAsia="Arial" w:hAnsi="Times New Roman" w:cs="Times New Roman"/>
          <w:sz w:val="24"/>
          <w:szCs w:val="24"/>
        </w:rPr>
        <w:t xml:space="preserve"> (Tabla 1)</w:t>
      </w:r>
      <w:r w:rsidRPr="005C45BF">
        <w:rPr>
          <w:rFonts w:ascii="Times New Roman" w:eastAsia="Arial" w:hAnsi="Times New Roman" w:cs="Times New Roman"/>
          <w:sz w:val="24"/>
          <w:szCs w:val="24"/>
        </w:rPr>
        <w:t xml:space="preserve">. </w:t>
      </w:r>
      <w:r w:rsidR="00CD23D9" w:rsidRPr="005C45BF">
        <w:rPr>
          <w:rFonts w:ascii="Times New Roman" w:eastAsia="Arial" w:hAnsi="Times New Roman" w:cs="Times New Roman"/>
          <w:b/>
          <w:sz w:val="24"/>
          <w:szCs w:val="24"/>
        </w:rPr>
        <w:t xml:space="preserve">                                                                                                                                 </w:t>
      </w:r>
    </w:p>
    <w:p w14:paraId="28B98C1A" w14:textId="45BCE72C" w:rsidR="00CD23D9" w:rsidRPr="005C45BF" w:rsidRDefault="001A03CB" w:rsidP="005C45BF">
      <w:pPr>
        <w:spacing w:line="240" w:lineRule="auto"/>
        <w:jc w:val="both"/>
        <w:rPr>
          <w:rFonts w:ascii="Times New Roman" w:eastAsia="Arial" w:hAnsi="Times New Roman" w:cs="Times New Roman"/>
          <w:sz w:val="24"/>
          <w:szCs w:val="24"/>
        </w:rPr>
      </w:pPr>
      <w:r w:rsidRPr="005C45BF">
        <w:rPr>
          <w:rFonts w:ascii="Times New Roman" w:eastAsia="Arial" w:hAnsi="Times New Roman" w:cs="Times New Roman"/>
          <w:b/>
          <w:sz w:val="24"/>
          <w:szCs w:val="24"/>
        </w:rPr>
        <w:lastRenderedPageBreak/>
        <w:t>Discusión</w:t>
      </w:r>
    </w:p>
    <w:p w14:paraId="5692F7D2" w14:textId="314918E7" w:rsidR="001E4D40" w:rsidRPr="005C45BF" w:rsidRDefault="00987747" w:rsidP="005C45BF">
      <w:pPr>
        <w:spacing w:line="240" w:lineRule="auto"/>
        <w:jc w:val="both"/>
        <w:rPr>
          <w:rFonts w:ascii="Times New Roman" w:eastAsia="Arial" w:hAnsi="Times New Roman" w:cs="Times New Roman"/>
          <w:sz w:val="24"/>
          <w:szCs w:val="24"/>
        </w:rPr>
      </w:pPr>
      <w:r w:rsidRPr="005C45BF">
        <w:rPr>
          <w:rFonts w:ascii="Times New Roman" w:hAnsi="Times New Roman" w:cs="Times New Roman"/>
          <w:sz w:val="23"/>
          <w:szCs w:val="23"/>
        </w:rPr>
        <w:t xml:space="preserve">De un total de 29 pacientes diagnosticados con criptococosis meníngea en la sala de </w:t>
      </w:r>
      <w:r w:rsidR="00304960" w:rsidRPr="005C45BF">
        <w:rPr>
          <w:rFonts w:ascii="Times New Roman" w:hAnsi="Times New Roman" w:cs="Times New Roman"/>
          <w:sz w:val="23"/>
          <w:szCs w:val="23"/>
        </w:rPr>
        <w:t>Infectologia</w:t>
      </w:r>
      <w:r w:rsidRPr="005C45BF">
        <w:rPr>
          <w:rFonts w:ascii="Times New Roman" w:hAnsi="Times New Roman" w:cs="Times New Roman"/>
          <w:sz w:val="23"/>
          <w:szCs w:val="23"/>
        </w:rPr>
        <w:t xml:space="preserve"> del C.H.Dr.A.A.M. entre enero del 2013 y diciembre del 2015, se logró revisar los expedientes clínicos de 17 pacientes que cumplían con los criterios de inclusión. </w:t>
      </w:r>
      <w:r w:rsidR="001E4D40" w:rsidRPr="005C45BF">
        <w:rPr>
          <w:rFonts w:ascii="Times New Roman" w:hAnsi="Times New Roman" w:cs="Times New Roman"/>
          <w:sz w:val="23"/>
          <w:szCs w:val="23"/>
        </w:rPr>
        <w:t xml:space="preserve">Del total de los pacientes el sexo masculino fue el predominante con 88.2%(15) y solo 11.8% (2) de los pacientes fueron del sexo femenino; continúa siendo la población masculina la más afectada al compararlo con serie de casos previas en Panamá, donde se reportaron 60.7% de hombres vs 39.3% de mujeres (Sierra et al., 1996), series de casos en América Latina reportaron 77% (Sierra </w:t>
      </w:r>
      <w:r w:rsidR="001C118C" w:rsidRPr="005C45BF">
        <w:rPr>
          <w:rFonts w:ascii="Times New Roman" w:hAnsi="Times New Roman" w:cs="Times New Roman"/>
          <w:sz w:val="23"/>
          <w:szCs w:val="23"/>
        </w:rPr>
        <w:t>Saldívar</w:t>
      </w:r>
      <w:r w:rsidR="001E4D40" w:rsidRPr="005C45BF">
        <w:rPr>
          <w:rFonts w:ascii="Times New Roman" w:hAnsi="Times New Roman" w:cs="Times New Roman"/>
          <w:sz w:val="23"/>
          <w:szCs w:val="23"/>
        </w:rPr>
        <w:t>, 2013) y 75% (Ramírez et al., 2015). El rango de edad fue entre 26 y 57 años, similar a los reportados a nivel mundial y similar al reportado por Sierra et al en el Hospital Santo Tomas en Panamá (23-53 años). la mediana de linfocitos T CD4 fue de 47 cel/mm</w:t>
      </w:r>
      <w:r w:rsidR="001E4D40" w:rsidRPr="005C45BF">
        <w:rPr>
          <w:rFonts w:ascii="Times New Roman" w:hAnsi="Times New Roman" w:cs="Times New Roman"/>
          <w:sz w:val="16"/>
          <w:szCs w:val="16"/>
        </w:rPr>
        <w:t>3</w:t>
      </w:r>
      <w:r w:rsidR="001E4D40" w:rsidRPr="005C45BF">
        <w:rPr>
          <w:rFonts w:ascii="Times New Roman" w:hAnsi="Times New Roman" w:cs="Times New Roman"/>
          <w:sz w:val="23"/>
          <w:szCs w:val="23"/>
        </w:rPr>
        <w:t>, inmunodepresión severa, lo esperado si tomamos en cuenta que la meningitis por criptococo se presenta con niveles menor a 100 cel/mm</w:t>
      </w:r>
      <w:r w:rsidR="001E4D40" w:rsidRPr="005C45BF">
        <w:rPr>
          <w:rFonts w:ascii="Times New Roman" w:hAnsi="Times New Roman" w:cs="Times New Roman"/>
          <w:sz w:val="16"/>
          <w:szCs w:val="16"/>
        </w:rPr>
        <w:t xml:space="preserve">3. </w:t>
      </w:r>
      <w:r w:rsidR="001E4D40" w:rsidRPr="005C45BF">
        <w:rPr>
          <w:rFonts w:ascii="Times New Roman" w:hAnsi="Times New Roman" w:cs="Times New Roman"/>
          <w:sz w:val="23"/>
          <w:szCs w:val="23"/>
        </w:rPr>
        <w:t>El síntoma inicial predominante fue la cefalea con 94.1% (16) de los casos y la fiebre en poco más de la mitad de ellos 52.9% (9); similar a lo reportado por Sierra et al donde el síntoma capital fue la cefalea y los vómitos. A diferencia de las series previas, nuestros pacientes en su mayoría no presentaban signos ni síntomas neurológicos, ni tampoco presentaron alteración en la escala de Glasgow al momento del diagnóstico. La presión de apertura inicial en la punción lumbar es elevada, encontramos una mediana de 58.5 cmH</w:t>
      </w:r>
      <w:r w:rsidR="001E4D40" w:rsidRPr="005C45BF">
        <w:rPr>
          <w:rFonts w:ascii="Times New Roman" w:hAnsi="Times New Roman" w:cs="Times New Roman"/>
          <w:sz w:val="16"/>
          <w:szCs w:val="16"/>
        </w:rPr>
        <w:t>2</w:t>
      </w:r>
      <w:r w:rsidR="001E4D40" w:rsidRPr="005C45BF">
        <w:rPr>
          <w:rFonts w:ascii="Times New Roman" w:hAnsi="Times New Roman" w:cs="Times New Roman"/>
          <w:sz w:val="23"/>
          <w:szCs w:val="23"/>
        </w:rPr>
        <w:t xml:space="preserve">O, en este estudio incluimos las presiones de apertura sucesivas, datos no reportados en las series de casos. </w:t>
      </w:r>
      <w:r w:rsidR="001A03CB" w:rsidRPr="005C45BF">
        <w:rPr>
          <w:rFonts w:ascii="Times New Roman" w:eastAsia="Arial" w:hAnsi="Times New Roman" w:cs="Times New Roman"/>
          <w:sz w:val="24"/>
          <w:szCs w:val="24"/>
        </w:rPr>
        <w:t xml:space="preserve">El aumento de la presión de apertura es un hallazgo común, pero no patognomónico, así como la pleocitosis con un aumento de proteínas en el líquido cefalorraquídeo. </w:t>
      </w:r>
    </w:p>
    <w:p w14:paraId="764F5B7C" w14:textId="65C515E7" w:rsidR="001A03CB" w:rsidRPr="005C45BF" w:rsidRDefault="001A03CB" w:rsidP="005C45BF">
      <w:pPr>
        <w:spacing w:line="240" w:lineRule="auto"/>
        <w:jc w:val="both"/>
        <w:rPr>
          <w:rFonts w:ascii="Times New Roman" w:hAnsi="Times New Roman" w:cs="Times New Roman"/>
          <w:sz w:val="23"/>
          <w:szCs w:val="23"/>
        </w:rPr>
      </w:pPr>
      <w:r w:rsidRPr="005C45BF">
        <w:rPr>
          <w:rFonts w:ascii="Times New Roman" w:eastAsia="Arial" w:hAnsi="Times New Roman" w:cs="Times New Roman"/>
          <w:sz w:val="24"/>
          <w:szCs w:val="24"/>
        </w:rPr>
        <w:t xml:space="preserve">En pacientes con VIH que reciben terapia antirretroviral y anfotericina más fluconazol en dosis altas, hemos podido reducir la mortalidad, sin embargo, en Panamá no tenemos flucitosina, que es la primera línea de tratamiento, que podría reducir aún más la mortalidad. En Panamá todavía vemos pacientes </w:t>
      </w:r>
      <w:r w:rsidR="009355DD" w:rsidRPr="005C45BF">
        <w:rPr>
          <w:rFonts w:ascii="Times New Roman" w:eastAsia="Arial" w:hAnsi="Times New Roman" w:cs="Times New Roman"/>
          <w:sz w:val="24"/>
          <w:szCs w:val="24"/>
        </w:rPr>
        <w:t xml:space="preserve">que llegan </w:t>
      </w:r>
      <w:r w:rsidRPr="005C45BF">
        <w:rPr>
          <w:rFonts w:ascii="Times New Roman" w:eastAsia="Arial" w:hAnsi="Times New Roman" w:cs="Times New Roman"/>
          <w:sz w:val="24"/>
          <w:szCs w:val="24"/>
        </w:rPr>
        <w:t xml:space="preserve">en fase de SIDA, </w:t>
      </w:r>
      <w:r w:rsidR="009355DD" w:rsidRPr="005C45BF">
        <w:rPr>
          <w:rFonts w:ascii="Times New Roman" w:eastAsia="Arial" w:hAnsi="Times New Roman" w:cs="Times New Roman"/>
          <w:sz w:val="24"/>
          <w:szCs w:val="24"/>
        </w:rPr>
        <w:t xml:space="preserve">con diagnósticos tardíos, </w:t>
      </w:r>
      <w:r w:rsidRPr="005C45BF">
        <w:rPr>
          <w:rFonts w:ascii="Times New Roman" w:eastAsia="Arial" w:hAnsi="Times New Roman" w:cs="Times New Roman"/>
          <w:sz w:val="24"/>
          <w:szCs w:val="24"/>
        </w:rPr>
        <w:t>por lo que son necesarias pruebas de detección temprana para el criptococo y, por lo tanto, reducen la morbilidad y la mortalidad de estos pacientes.</w:t>
      </w:r>
    </w:p>
    <w:p w14:paraId="3EB3292D" w14:textId="64D35CD7" w:rsidR="006E4ECE" w:rsidRPr="006E4ECE" w:rsidRDefault="006E4ECE" w:rsidP="00AE03C9">
      <w:pPr>
        <w:spacing w:line="240" w:lineRule="auto"/>
        <w:rPr>
          <w:rFonts w:ascii="Times New Roman" w:eastAsia="Arial" w:hAnsi="Times New Roman" w:cs="Times New Roman"/>
          <w:b/>
          <w:sz w:val="24"/>
          <w:szCs w:val="24"/>
        </w:rPr>
      </w:pPr>
      <w:r w:rsidRPr="006E4ECE">
        <w:rPr>
          <w:rFonts w:ascii="Times New Roman" w:eastAsia="Arial" w:hAnsi="Times New Roman" w:cs="Times New Roman"/>
          <w:b/>
          <w:sz w:val="24"/>
          <w:szCs w:val="24"/>
        </w:rPr>
        <w:t>Conclusión</w:t>
      </w:r>
    </w:p>
    <w:p w14:paraId="2FE2CB96" w14:textId="217D906C" w:rsidR="00AE03C9" w:rsidRPr="00AE03C9" w:rsidRDefault="00AE03C9" w:rsidP="004D458C">
      <w:pPr>
        <w:spacing w:line="240" w:lineRule="auto"/>
        <w:jc w:val="both"/>
        <w:rPr>
          <w:rFonts w:ascii="Times New Roman" w:eastAsia="Arial" w:hAnsi="Times New Roman" w:cs="Times New Roman"/>
          <w:sz w:val="24"/>
          <w:szCs w:val="24"/>
        </w:rPr>
      </w:pPr>
      <w:r w:rsidRPr="00AE03C9">
        <w:rPr>
          <w:rFonts w:ascii="Times New Roman" w:eastAsia="Arial" w:hAnsi="Times New Roman" w:cs="Times New Roman"/>
          <w:sz w:val="24"/>
          <w:szCs w:val="24"/>
        </w:rPr>
        <w:t xml:space="preserve">Las características clínicas de </w:t>
      </w:r>
      <w:r w:rsidR="009355DD">
        <w:rPr>
          <w:rFonts w:ascii="Times New Roman" w:eastAsia="Arial" w:hAnsi="Times New Roman" w:cs="Times New Roman"/>
          <w:sz w:val="24"/>
          <w:szCs w:val="24"/>
        </w:rPr>
        <w:t>los</w:t>
      </w:r>
      <w:r w:rsidRPr="00AE03C9">
        <w:rPr>
          <w:rFonts w:ascii="Times New Roman" w:eastAsia="Arial" w:hAnsi="Times New Roman" w:cs="Times New Roman"/>
          <w:sz w:val="24"/>
          <w:szCs w:val="24"/>
        </w:rPr>
        <w:t xml:space="preserve"> pacientes</w:t>
      </w:r>
      <w:r w:rsidR="009355DD">
        <w:rPr>
          <w:rFonts w:ascii="Times New Roman" w:eastAsia="Arial" w:hAnsi="Times New Roman" w:cs="Times New Roman"/>
          <w:sz w:val="24"/>
          <w:szCs w:val="24"/>
        </w:rPr>
        <w:t xml:space="preserve"> evaluados</w:t>
      </w:r>
      <w:r w:rsidRPr="00AE03C9">
        <w:rPr>
          <w:rFonts w:ascii="Times New Roman" w:eastAsia="Arial" w:hAnsi="Times New Roman" w:cs="Times New Roman"/>
          <w:sz w:val="24"/>
          <w:szCs w:val="24"/>
        </w:rPr>
        <w:t xml:space="preserve"> son similares a las reportadas en estudios </w:t>
      </w:r>
      <w:r w:rsidR="00912A70">
        <w:rPr>
          <w:rFonts w:ascii="Times New Roman" w:eastAsia="Arial" w:hAnsi="Times New Roman" w:cs="Times New Roman"/>
          <w:sz w:val="24"/>
          <w:szCs w:val="24"/>
        </w:rPr>
        <w:t>previos tanto locales como internacionales</w:t>
      </w:r>
      <w:r w:rsidRPr="00AE03C9">
        <w:rPr>
          <w:rFonts w:ascii="Times New Roman" w:eastAsia="Arial" w:hAnsi="Times New Roman" w:cs="Times New Roman"/>
          <w:sz w:val="24"/>
          <w:szCs w:val="24"/>
        </w:rPr>
        <w:t xml:space="preserve">, siendo la cefalea el principal síntoma; sin embargo, más de la mitad de nuestros pacientes no presentaron fiebre, signos meníngeos ni alteraciones neurológicas. La presión de apertura elevada es un hallazgo común, así como la pleocitosis con proteinorraquia. En los pacientes con VIH la terapia antirretroviral y los esquemas de anfotericina más fluconazol a dosis altas han logrado disminuir la mortalidad, sin embargo, en Panamá no contamos con flucitosina que es la primera línea de tratamiento, que podría disminuir aún más la mortalidad. </w:t>
      </w:r>
      <w:r w:rsidR="009355DD">
        <w:rPr>
          <w:rFonts w:ascii="Times New Roman" w:eastAsia="Arial" w:hAnsi="Times New Roman" w:cs="Times New Roman"/>
          <w:sz w:val="24"/>
          <w:szCs w:val="24"/>
        </w:rPr>
        <w:t>Se requieren</w:t>
      </w:r>
      <w:r w:rsidRPr="00AE03C9">
        <w:rPr>
          <w:rFonts w:ascii="Times New Roman" w:eastAsia="Arial" w:hAnsi="Times New Roman" w:cs="Times New Roman"/>
          <w:sz w:val="24"/>
          <w:szCs w:val="24"/>
        </w:rPr>
        <w:t xml:space="preserve"> pruebas de detección temprana para criptococo y así disminuir la morbimortalidad de estos pacientes. </w:t>
      </w:r>
    </w:p>
    <w:p w14:paraId="48FD01E4" w14:textId="5523E28E" w:rsidR="00F444A6" w:rsidRPr="000E5BBC" w:rsidRDefault="006E4ECE" w:rsidP="000E5BBC">
      <w:pPr>
        <w:spacing w:line="240" w:lineRule="auto"/>
        <w:rPr>
          <w:rFonts w:ascii="Times New Roman" w:eastAsia="Arial" w:hAnsi="Times New Roman" w:cs="Times New Roman"/>
          <w:b/>
          <w:sz w:val="24"/>
          <w:szCs w:val="24"/>
        </w:rPr>
      </w:pPr>
      <w:bookmarkStart w:id="1" w:name="_heading=h.gjdgxs" w:colFirst="0" w:colLast="0"/>
      <w:bookmarkEnd w:id="1"/>
      <w:r>
        <w:rPr>
          <w:rFonts w:ascii="Times New Roman" w:eastAsia="Arial" w:hAnsi="Times New Roman" w:cs="Times New Roman"/>
          <w:b/>
          <w:sz w:val="24"/>
          <w:szCs w:val="24"/>
          <w:lang w:val="en-US"/>
        </w:rPr>
        <w:t>Bibliogra</w:t>
      </w:r>
      <w:r w:rsidR="00CD23D9">
        <w:rPr>
          <w:rFonts w:ascii="Times New Roman" w:eastAsia="Arial" w:hAnsi="Times New Roman" w:cs="Times New Roman"/>
          <w:b/>
          <w:sz w:val="24"/>
          <w:szCs w:val="24"/>
          <w:lang w:val="en-US"/>
        </w:rPr>
        <w:t>fía</w:t>
      </w:r>
    </w:p>
    <w:p w14:paraId="2D3E5E72" w14:textId="46F590D0"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fr-MC"/>
        </w:rPr>
        <w:t xml:space="preserve">Jarvis, J. N., et al. </w:t>
      </w:r>
      <w:r w:rsidRPr="000E5BBC">
        <w:rPr>
          <w:rFonts w:ascii="Times New Roman" w:eastAsia="Arial" w:hAnsi="Times New Roman" w:cs="Times New Roman"/>
          <w:color w:val="000000"/>
          <w:sz w:val="24"/>
          <w:szCs w:val="24"/>
          <w:lang w:val="en-US"/>
        </w:rPr>
        <w:t xml:space="preserve">(2014). Determinants of mortality in a combined cohort of 501 patients with HIV-associated </w:t>
      </w:r>
      <w:r w:rsidR="00304960" w:rsidRPr="000E5BBC">
        <w:rPr>
          <w:rFonts w:ascii="Times New Roman" w:eastAsia="Arial" w:hAnsi="Times New Roman" w:cs="Times New Roman"/>
          <w:color w:val="000000"/>
          <w:sz w:val="24"/>
          <w:szCs w:val="24"/>
          <w:lang w:val="en-US"/>
        </w:rPr>
        <w:t>Cryptococci</w:t>
      </w:r>
      <w:r w:rsidRPr="000E5BBC">
        <w:rPr>
          <w:rFonts w:ascii="Times New Roman" w:eastAsia="Arial" w:hAnsi="Times New Roman" w:cs="Times New Roman"/>
          <w:color w:val="000000"/>
          <w:sz w:val="24"/>
          <w:szCs w:val="24"/>
          <w:lang w:val="en-US"/>
        </w:rPr>
        <w:t xml:space="preserve"> meningitis: Implications for improving outcomes. Clinical Infectious Diseases, 58(5), 736–745. </w:t>
      </w:r>
    </w:p>
    <w:p w14:paraId="4CBA145A" w14:textId="77777777" w:rsidR="00F444A6" w:rsidRPr="000E5BBC" w:rsidRDefault="00F444A6" w:rsidP="000E5BBC">
      <w:pPr>
        <w:pBdr>
          <w:top w:val="nil"/>
          <w:left w:val="nil"/>
          <w:bottom w:val="nil"/>
          <w:right w:val="nil"/>
          <w:between w:val="nil"/>
        </w:pBdr>
        <w:spacing w:after="0" w:line="240" w:lineRule="auto"/>
        <w:ind w:left="360" w:hanging="720"/>
        <w:rPr>
          <w:rFonts w:ascii="Times New Roman" w:eastAsia="Arial" w:hAnsi="Times New Roman" w:cs="Times New Roman"/>
          <w:color w:val="000000"/>
          <w:sz w:val="24"/>
          <w:szCs w:val="24"/>
          <w:lang w:val="en-US"/>
        </w:rPr>
      </w:pPr>
    </w:p>
    <w:p w14:paraId="19ABB1D7"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en-US"/>
        </w:rPr>
        <w:lastRenderedPageBreak/>
        <w:t xml:space="preserve">Jonathan E. Kaplan, et al. (2009). Guidelines for Prevention and Treatment of Opportunistic Infections in HIV-Infected Adults and Adolescents. The HIV Medicine Association of the Infectious Diseases Society of America, 1(198), 1. </w:t>
      </w:r>
    </w:p>
    <w:p w14:paraId="6AD24338" w14:textId="77777777" w:rsidR="00F444A6" w:rsidRPr="000E5BBC" w:rsidRDefault="00F444A6" w:rsidP="000E5BBC">
      <w:p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p>
    <w:p w14:paraId="1F69AB70"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0E5BBC">
        <w:rPr>
          <w:rFonts w:ascii="Times New Roman" w:eastAsia="Arial" w:hAnsi="Times New Roman" w:cs="Times New Roman"/>
          <w:color w:val="000000"/>
          <w:sz w:val="24"/>
          <w:szCs w:val="24"/>
        </w:rPr>
        <w:t xml:space="preserve">González, C., et al. (2013). Revista Médica de Panamá Meningitis por Cryptococcus neoformans en pacientes con SIDA, 3(2), 3–7. </w:t>
      </w:r>
    </w:p>
    <w:p w14:paraId="33E2B756" w14:textId="77777777" w:rsidR="00F444A6" w:rsidRPr="000E5BBC" w:rsidRDefault="00F444A6" w:rsidP="000E5BBC">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1BA03B4E"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CC5995">
        <w:rPr>
          <w:rFonts w:ascii="Times New Roman" w:eastAsia="Arial" w:hAnsi="Times New Roman" w:cs="Times New Roman"/>
          <w:color w:val="000000"/>
          <w:sz w:val="24"/>
          <w:szCs w:val="24"/>
          <w:lang w:val="en-US"/>
        </w:rPr>
        <w:t xml:space="preserve">Sierra, L. O., et al. </w:t>
      </w:r>
      <w:r w:rsidRPr="003A3A45">
        <w:rPr>
          <w:rFonts w:ascii="Times New Roman" w:eastAsia="Arial" w:hAnsi="Times New Roman" w:cs="Times New Roman"/>
          <w:color w:val="000000"/>
          <w:sz w:val="24"/>
          <w:szCs w:val="24"/>
          <w:lang w:val="en-US"/>
        </w:rPr>
        <w:t xml:space="preserve">(1996). [Cryptococcus neoformans meningitis in patients with AIDS at the Saint Thomas Hospital]. </w:t>
      </w:r>
      <w:r w:rsidRPr="000E5BBC">
        <w:rPr>
          <w:rFonts w:ascii="Times New Roman" w:eastAsia="Arial" w:hAnsi="Times New Roman" w:cs="Times New Roman"/>
          <w:color w:val="000000"/>
          <w:sz w:val="24"/>
          <w:szCs w:val="24"/>
        </w:rPr>
        <w:t xml:space="preserve">Revista Médica de Panamá, 21, 46–50. </w:t>
      </w:r>
    </w:p>
    <w:p w14:paraId="6D0FE9BD" w14:textId="77777777" w:rsidR="00F444A6" w:rsidRPr="000E5BBC" w:rsidRDefault="00F444A6" w:rsidP="000E5BBC">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1686DFAA"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hAnsi="Times New Roman" w:cs="Times New Roman"/>
          <w:sz w:val="24"/>
          <w:szCs w:val="24"/>
        </w:rPr>
      </w:pPr>
      <w:r w:rsidRPr="000E5BBC">
        <w:rPr>
          <w:rFonts w:ascii="Times New Roman" w:eastAsia="Arial" w:hAnsi="Times New Roman" w:cs="Times New Roman"/>
          <w:color w:val="000000"/>
          <w:sz w:val="24"/>
          <w:szCs w:val="24"/>
        </w:rPr>
        <w:t xml:space="preserve">Ramírez, S., et al. (2015). Criptococosis cerebral: descripción de una serie de casos con presentaciones típicas y atípicas en el Hospital Universitario San José Infantil de Bogotá Cerebral cryptococcosis: description of a series of cases of atypical clinical presentation, </w:t>
      </w:r>
      <w:r w:rsidRPr="000E5BBC">
        <w:rPr>
          <w:rFonts w:ascii="Times New Roman" w:eastAsia="Arial" w:hAnsi="Times New Roman" w:cs="Times New Roman"/>
          <w:i/>
          <w:color w:val="000000"/>
          <w:sz w:val="24"/>
          <w:szCs w:val="24"/>
        </w:rPr>
        <w:t>31</w:t>
      </w:r>
      <w:r w:rsidRPr="000E5BBC">
        <w:rPr>
          <w:rFonts w:ascii="Times New Roman" w:eastAsia="Arial" w:hAnsi="Times New Roman" w:cs="Times New Roman"/>
          <w:color w:val="000000"/>
          <w:sz w:val="24"/>
          <w:szCs w:val="24"/>
        </w:rPr>
        <w:t xml:space="preserve">(2), 158–166. </w:t>
      </w:r>
    </w:p>
    <w:p w14:paraId="4F3F34BB" w14:textId="77777777" w:rsidR="00F444A6" w:rsidRPr="000E5BBC" w:rsidRDefault="00F444A6" w:rsidP="000E5BBC">
      <w:pPr>
        <w:pBdr>
          <w:top w:val="nil"/>
          <w:left w:val="nil"/>
          <w:bottom w:val="nil"/>
          <w:right w:val="nil"/>
          <w:between w:val="nil"/>
        </w:pBdr>
        <w:spacing w:line="240" w:lineRule="auto"/>
        <w:ind w:left="720" w:hanging="720"/>
        <w:rPr>
          <w:rFonts w:ascii="Times New Roman" w:eastAsia="Arial" w:hAnsi="Times New Roman" w:cs="Times New Roman"/>
          <w:color w:val="000000"/>
          <w:sz w:val="24"/>
          <w:szCs w:val="24"/>
        </w:rPr>
      </w:pPr>
    </w:p>
    <w:p w14:paraId="46D6B7B6"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fr-MC"/>
        </w:rPr>
        <w:t xml:space="preserve">Brizendine, K. D., et al. </w:t>
      </w:r>
      <w:r w:rsidRPr="000E5BBC">
        <w:rPr>
          <w:rFonts w:ascii="Times New Roman" w:eastAsia="Arial" w:hAnsi="Times New Roman" w:cs="Times New Roman"/>
          <w:color w:val="000000"/>
          <w:sz w:val="24"/>
          <w:szCs w:val="24"/>
          <w:lang w:val="en-US"/>
        </w:rPr>
        <w:t xml:space="preserve">(2013). Predictors of Mortality and Differences in Clinical Features, among Patients with Cryptococcosis According to Immune Status. PLoS ONE, 8(3). </w:t>
      </w:r>
    </w:p>
    <w:p w14:paraId="3652896D" w14:textId="77777777" w:rsidR="00F444A6" w:rsidRPr="000E5BBC" w:rsidRDefault="00F444A6" w:rsidP="000E5BBC">
      <w:pPr>
        <w:pBdr>
          <w:top w:val="nil"/>
          <w:left w:val="nil"/>
          <w:bottom w:val="nil"/>
          <w:right w:val="nil"/>
          <w:between w:val="nil"/>
        </w:pBdr>
        <w:spacing w:after="0" w:line="240" w:lineRule="auto"/>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en-US"/>
        </w:rPr>
        <w:t xml:space="preserve"> </w:t>
      </w:r>
    </w:p>
    <w:p w14:paraId="176ED8F1" w14:textId="77777777" w:rsidR="00F444A6" w:rsidRPr="000E5BBC" w:rsidRDefault="00F444A6" w:rsidP="000E5BBC">
      <w:pPr>
        <w:pBdr>
          <w:top w:val="nil"/>
          <w:left w:val="nil"/>
          <w:bottom w:val="nil"/>
          <w:right w:val="nil"/>
          <w:between w:val="nil"/>
        </w:pBdr>
        <w:spacing w:after="0" w:line="240" w:lineRule="auto"/>
        <w:rPr>
          <w:rFonts w:ascii="Times New Roman" w:eastAsia="Arial" w:hAnsi="Times New Roman" w:cs="Times New Roman"/>
          <w:color w:val="000000"/>
          <w:sz w:val="24"/>
          <w:szCs w:val="24"/>
          <w:lang w:val="en-US"/>
        </w:rPr>
      </w:pPr>
    </w:p>
    <w:p w14:paraId="12854DD3"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en-US"/>
        </w:rPr>
        <w:t xml:space="preserve">Day, J. N., et al. (2013). Combination Antifungal Therapy for Cryptococcal Meningitis. New England Journal of Medicine, 368(14), 1291–1302 </w:t>
      </w:r>
    </w:p>
    <w:p w14:paraId="1F075AF1" w14:textId="77777777" w:rsidR="00F444A6" w:rsidRPr="000E5BBC" w:rsidRDefault="00F444A6" w:rsidP="000E5BBC">
      <w:pPr>
        <w:pBdr>
          <w:top w:val="nil"/>
          <w:left w:val="nil"/>
          <w:bottom w:val="nil"/>
          <w:right w:val="nil"/>
          <w:between w:val="nil"/>
        </w:pBdr>
        <w:spacing w:after="0" w:line="240" w:lineRule="auto"/>
        <w:ind w:left="360" w:hanging="720"/>
        <w:rPr>
          <w:rFonts w:ascii="Times New Roman" w:eastAsia="Arial" w:hAnsi="Times New Roman" w:cs="Times New Roman"/>
          <w:color w:val="000000"/>
          <w:sz w:val="24"/>
          <w:szCs w:val="24"/>
          <w:lang w:val="en-US"/>
        </w:rPr>
      </w:pPr>
    </w:p>
    <w:p w14:paraId="7838875F"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0E5BBC">
        <w:rPr>
          <w:rFonts w:ascii="Times New Roman" w:eastAsia="Arial" w:hAnsi="Times New Roman" w:cs="Times New Roman"/>
          <w:color w:val="000000"/>
          <w:sz w:val="24"/>
          <w:szCs w:val="24"/>
          <w:lang w:val="en-US"/>
        </w:rPr>
        <w:t xml:space="preserve">Yao, Z. W., et al. (2014). Comparison of flucytosine and fluconazole combined with amphotericin B for the treatment of HIV-associated cryptococcal meningitis: A systematic review and meta-analysis. </w:t>
      </w:r>
      <w:r w:rsidRPr="000E5BBC">
        <w:rPr>
          <w:rFonts w:ascii="Times New Roman" w:eastAsia="Arial" w:hAnsi="Times New Roman" w:cs="Times New Roman"/>
          <w:color w:val="000000"/>
          <w:sz w:val="24"/>
          <w:szCs w:val="24"/>
        </w:rPr>
        <w:t xml:space="preserve">European Journal of Clinical Microbiology and Infectious Diseases, 33(8), 1339–1344 </w:t>
      </w:r>
    </w:p>
    <w:p w14:paraId="2BAE2DB7" w14:textId="77777777" w:rsidR="00F444A6" w:rsidRPr="000E5BBC" w:rsidRDefault="00F444A6" w:rsidP="000E5BBC">
      <w:pPr>
        <w:pBdr>
          <w:top w:val="nil"/>
          <w:left w:val="nil"/>
          <w:bottom w:val="nil"/>
          <w:right w:val="nil"/>
          <w:between w:val="nil"/>
        </w:pBdr>
        <w:spacing w:after="0" w:line="240" w:lineRule="auto"/>
        <w:ind w:left="720" w:hanging="720"/>
        <w:rPr>
          <w:rFonts w:ascii="Times New Roman" w:eastAsia="Arial" w:hAnsi="Times New Roman" w:cs="Times New Roman"/>
          <w:color w:val="000000"/>
          <w:sz w:val="24"/>
          <w:szCs w:val="24"/>
        </w:rPr>
      </w:pPr>
    </w:p>
    <w:p w14:paraId="541C9607"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rPr>
      </w:pPr>
      <w:r w:rsidRPr="000E5BBC">
        <w:rPr>
          <w:rFonts w:ascii="Times New Roman" w:eastAsia="Arial" w:hAnsi="Times New Roman" w:cs="Times New Roman"/>
          <w:color w:val="000000"/>
          <w:sz w:val="24"/>
          <w:szCs w:val="24"/>
          <w:lang w:val="en-US"/>
        </w:rPr>
        <w:t xml:space="preserve">Merry, M., et al. (2016). Cryptococcal Meningitis Treatment Strategies Affected by the Explosive Cost of Flucytosine in the United States: A Cost-effectiveness Analysis. </w:t>
      </w:r>
      <w:r w:rsidRPr="000E5BBC">
        <w:rPr>
          <w:rFonts w:ascii="Times New Roman" w:eastAsia="Arial" w:hAnsi="Times New Roman" w:cs="Times New Roman"/>
          <w:color w:val="000000"/>
          <w:sz w:val="24"/>
          <w:szCs w:val="24"/>
        </w:rPr>
        <w:t xml:space="preserve">Clinical Infectious Diseases, 62(12), 1564–1568. </w:t>
      </w:r>
    </w:p>
    <w:p w14:paraId="67B46E7F" w14:textId="77777777" w:rsidR="00F444A6" w:rsidRPr="000E5BBC" w:rsidRDefault="00F444A6" w:rsidP="000E5BBC">
      <w:pPr>
        <w:spacing w:after="0" w:line="240" w:lineRule="auto"/>
        <w:rPr>
          <w:rFonts w:ascii="Times New Roman" w:eastAsia="Arial" w:hAnsi="Times New Roman" w:cs="Times New Roman"/>
          <w:color w:val="000000"/>
          <w:sz w:val="24"/>
          <w:szCs w:val="24"/>
        </w:rPr>
      </w:pPr>
    </w:p>
    <w:p w14:paraId="0FFFE3D1" w14:textId="77777777" w:rsidR="00F444A6" w:rsidRPr="000E5BBC" w:rsidRDefault="00F444A6" w:rsidP="000E5BBC">
      <w:pPr>
        <w:numPr>
          <w:ilvl w:val="0"/>
          <w:numId w:val="1"/>
        </w:numPr>
        <w:pBdr>
          <w:top w:val="nil"/>
          <w:left w:val="nil"/>
          <w:bottom w:val="nil"/>
          <w:right w:val="nil"/>
          <w:between w:val="nil"/>
        </w:pBdr>
        <w:spacing w:after="0" w:line="240" w:lineRule="auto"/>
        <w:ind w:left="360"/>
        <w:rPr>
          <w:rFonts w:ascii="Times New Roman" w:eastAsia="Arial" w:hAnsi="Times New Roman" w:cs="Times New Roman"/>
          <w:color w:val="000000"/>
          <w:sz w:val="24"/>
          <w:szCs w:val="24"/>
          <w:lang w:val="en-US"/>
        </w:rPr>
      </w:pPr>
      <w:r w:rsidRPr="000E5BBC">
        <w:rPr>
          <w:rFonts w:ascii="Times New Roman" w:eastAsia="Arial" w:hAnsi="Times New Roman" w:cs="Times New Roman"/>
          <w:color w:val="000000"/>
          <w:sz w:val="24"/>
          <w:szCs w:val="24"/>
          <w:lang w:val="fr-MC"/>
        </w:rPr>
        <w:t xml:space="preserve">Perfect, J. R., et al. </w:t>
      </w:r>
      <w:r w:rsidRPr="000E5BBC">
        <w:rPr>
          <w:rFonts w:ascii="Times New Roman" w:eastAsia="Arial" w:hAnsi="Times New Roman" w:cs="Times New Roman"/>
          <w:color w:val="000000"/>
          <w:sz w:val="24"/>
          <w:szCs w:val="24"/>
          <w:lang w:val="en-US"/>
        </w:rPr>
        <w:t xml:space="preserve">(2015). Cryptococcosis diagnosis and treatment: What do we know now? Fungal Genetics and Biology, 78, 49–54. </w:t>
      </w:r>
    </w:p>
    <w:p w14:paraId="089F1813" w14:textId="77777777" w:rsidR="00AF3DAC" w:rsidRDefault="00AF3DAC" w:rsidP="000E5BBC">
      <w:pPr>
        <w:spacing w:line="240" w:lineRule="auto"/>
        <w:rPr>
          <w:rFonts w:ascii="Times New Roman" w:eastAsia="Arial" w:hAnsi="Times New Roman" w:cs="Times New Roman"/>
          <w:sz w:val="24"/>
          <w:szCs w:val="24"/>
          <w:lang w:val="en-US"/>
        </w:rPr>
      </w:pPr>
    </w:p>
    <w:p w14:paraId="55C16416" w14:textId="77777777" w:rsidR="00304960" w:rsidRDefault="00304960" w:rsidP="000E5BBC">
      <w:pPr>
        <w:spacing w:line="240" w:lineRule="auto"/>
        <w:rPr>
          <w:rFonts w:ascii="Times New Roman" w:eastAsia="Arial" w:hAnsi="Times New Roman" w:cs="Times New Roman"/>
          <w:sz w:val="24"/>
          <w:szCs w:val="24"/>
          <w:lang w:val="en-US"/>
        </w:rPr>
      </w:pPr>
    </w:p>
    <w:p w14:paraId="772988BD" w14:textId="77777777" w:rsidR="00304960" w:rsidRDefault="00304960" w:rsidP="000E5BBC">
      <w:pPr>
        <w:spacing w:line="240" w:lineRule="auto"/>
        <w:rPr>
          <w:rFonts w:ascii="Times New Roman" w:eastAsia="Arial" w:hAnsi="Times New Roman" w:cs="Times New Roman"/>
          <w:sz w:val="24"/>
          <w:szCs w:val="24"/>
          <w:lang w:val="en-US"/>
        </w:rPr>
      </w:pPr>
    </w:p>
    <w:p w14:paraId="0F6FB851" w14:textId="77777777" w:rsidR="00304960" w:rsidRDefault="00304960" w:rsidP="000E5BBC">
      <w:pPr>
        <w:spacing w:line="240" w:lineRule="auto"/>
        <w:rPr>
          <w:rFonts w:ascii="Times New Roman" w:eastAsia="Arial" w:hAnsi="Times New Roman" w:cs="Times New Roman"/>
          <w:sz w:val="24"/>
          <w:szCs w:val="24"/>
          <w:lang w:val="en-US"/>
        </w:rPr>
      </w:pPr>
    </w:p>
    <w:p w14:paraId="4BFEC66E" w14:textId="77777777" w:rsidR="00304960" w:rsidRDefault="00304960" w:rsidP="000E5BBC">
      <w:pPr>
        <w:spacing w:line="240" w:lineRule="auto"/>
        <w:rPr>
          <w:rFonts w:ascii="Times New Roman" w:eastAsia="Arial" w:hAnsi="Times New Roman" w:cs="Times New Roman"/>
          <w:sz w:val="24"/>
          <w:szCs w:val="24"/>
          <w:lang w:val="en-US"/>
        </w:rPr>
      </w:pPr>
    </w:p>
    <w:p w14:paraId="080F3CFC" w14:textId="77777777" w:rsidR="00304960" w:rsidRDefault="00304960" w:rsidP="000E5BBC">
      <w:pPr>
        <w:spacing w:line="240" w:lineRule="auto"/>
        <w:rPr>
          <w:rFonts w:ascii="Times New Roman" w:eastAsia="Arial" w:hAnsi="Times New Roman" w:cs="Times New Roman"/>
          <w:sz w:val="24"/>
          <w:szCs w:val="24"/>
          <w:lang w:val="en-US"/>
        </w:rPr>
      </w:pPr>
    </w:p>
    <w:p w14:paraId="4BA34CEA" w14:textId="77777777" w:rsidR="00304960" w:rsidRDefault="00304960" w:rsidP="000E5BBC">
      <w:pPr>
        <w:spacing w:line="240" w:lineRule="auto"/>
        <w:rPr>
          <w:rFonts w:ascii="Times New Roman" w:eastAsia="Arial" w:hAnsi="Times New Roman" w:cs="Times New Roman"/>
          <w:sz w:val="24"/>
          <w:szCs w:val="24"/>
          <w:lang w:val="en-US"/>
        </w:rPr>
      </w:pPr>
    </w:p>
    <w:p w14:paraId="1D18B0C0" w14:textId="77777777" w:rsidR="00304960" w:rsidRDefault="00304960" w:rsidP="000E5BBC">
      <w:pPr>
        <w:spacing w:line="240" w:lineRule="auto"/>
        <w:rPr>
          <w:rFonts w:ascii="Times New Roman" w:eastAsia="Arial" w:hAnsi="Times New Roman" w:cs="Times New Roman"/>
          <w:sz w:val="24"/>
          <w:szCs w:val="24"/>
          <w:lang w:val="en-US"/>
        </w:rPr>
      </w:pPr>
    </w:p>
    <w:p w14:paraId="57417883" w14:textId="77777777" w:rsidR="00304960" w:rsidRDefault="00304960" w:rsidP="000E5BBC">
      <w:pPr>
        <w:spacing w:line="240" w:lineRule="auto"/>
        <w:rPr>
          <w:rFonts w:ascii="Times New Roman" w:eastAsia="Arial" w:hAnsi="Times New Roman" w:cs="Times New Roman"/>
          <w:sz w:val="24"/>
          <w:szCs w:val="24"/>
          <w:lang w:val="en-US"/>
        </w:rPr>
      </w:pPr>
    </w:p>
    <w:p w14:paraId="05B90D5D" w14:textId="77777777" w:rsidR="00304960" w:rsidRDefault="00304960" w:rsidP="000E5BBC">
      <w:pPr>
        <w:spacing w:line="240" w:lineRule="auto"/>
        <w:rPr>
          <w:rFonts w:ascii="Times New Roman" w:eastAsia="Arial" w:hAnsi="Times New Roman" w:cs="Times New Roman"/>
          <w:sz w:val="24"/>
          <w:szCs w:val="24"/>
          <w:lang w:val="en-US"/>
        </w:rPr>
      </w:pPr>
    </w:p>
    <w:p w14:paraId="27425F1C" w14:textId="77777777" w:rsidR="00304960" w:rsidRPr="000E5BBC" w:rsidRDefault="00304960" w:rsidP="000E5BBC">
      <w:pPr>
        <w:spacing w:line="240" w:lineRule="auto"/>
        <w:rPr>
          <w:rFonts w:ascii="Times New Roman" w:eastAsia="Arial" w:hAnsi="Times New Roman" w:cs="Times New Roman"/>
          <w:sz w:val="24"/>
          <w:szCs w:val="24"/>
          <w:lang w:val="en-US"/>
        </w:rPr>
      </w:pPr>
    </w:p>
    <w:p w14:paraId="556DA206" w14:textId="5E81DDB9" w:rsidR="00FD54E2" w:rsidRPr="00FD54E2" w:rsidRDefault="00FD54E2" w:rsidP="00FD54E2">
      <w:pPr>
        <w:autoSpaceDE w:val="0"/>
        <w:autoSpaceDN w:val="0"/>
        <w:adjustRightInd w:val="0"/>
        <w:spacing w:after="0" w:line="240" w:lineRule="auto"/>
        <w:jc w:val="center"/>
        <w:rPr>
          <w:rFonts w:ascii="Arial" w:hAnsi="Arial" w:cs="Arial"/>
          <w:color w:val="000000"/>
          <w:sz w:val="23"/>
          <w:szCs w:val="23"/>
          <w:lang w:val="en-US"/>
        </w:rPr>
      </w:pPr>
      <w:r w:rsidRPr="00FD54E2">
        <w:rPr>
          <w:rFonts w:ascii="Arial" w:hAnsi="Arial" w:cs="Arial"/>
          <w:color w:val="000000"/>
          <w:sz w:val="23"/>
          <w:szCs w:val="23"/>
          <w:lang w:val="en-US"/>
        </w:rPr>
        <w:t>Tabla Nº 1</w:t>
      </w:r>
    </w:p>
    <w:p w14:paraId="105BF671" w14:textId="3723F3E0" w:rsidR="00AF3DAC" w:rsidRPr="00F26368" w:rsidRDefault="00FD54E2" w:rsidP="00FD54E2">
      <w:pPr>
        <w:spacing w:line="240" w:lineRule="auto"/>
        <w:jc w:val="center"/>
        <w:rPr>
          <w:rFonts w:ascii="Times New Roman" w:eastAsia="Arial" w:hAnsi="Times New Roman" w:cs="Times New Roman"/>
          <w:sz w:val="20"/>
          <w:szCs w:val="20"/>
        </w:rPr>
      </w:pPr>
      <w:r w:rsidRPr="00F26368">
        <w:rPr>
          <w:rFonts w:ascii="Arial" w:hAnsi="Arial" w:cs="Arial"/>
          <w:color w:val="000000"/>
          <w:sz w:val="20"/>
          <w:szCs w:val="20"/>
        </w:rPr>
        <w:t>Distribución de los pacientes según sexo, edad, conteo de CD4, días de hospitalización, tratamiento antirretroviral, antimicótico y las características neurológicas al momento de su ingreso</w:t>
      </w:r>
    </w:p>
    <w:tbl>
      <w:tblPr>
        <w:tblStyle w:val="Tablaconcuadrcula"/>
        <w:tblW w:w="0" w:type="auto"/>
        <w:jc w:val="center"/>
        <w:tblLayout w:type="fixed"/>
        <w:tblLook w:val="0000" w:firstRow="0" w:lastRow="0" w:firstColumn="0" w:lastColumn="0" w:noHBand="0" w:noVBand="0"/>
      </w:tblPr>
      <w:tblGrid>
        <w:gridCol w:w="4605"/>
        <w:gridCol w:w="1589"/>
      </w:tblGrid>
      <w:tr w:rsidR="00912A70" w:rsidRPr="00912A70" w14:paraId="5B519D11" w14:textId="77777777" w:rsidTr="00FD54E2">
        <w:trPr>
          <w:trHeight w:val="110"/>
          <w:jc w:val="center"/>
        </w:trPr>
        <w:tc>
          <w:tcPr>
            <w:tcW w:w="6194" w:type="dxa"/>
            <w:gridSpan w:val="2"/>
            <w:shd w:val="clear" w:color="auto" w:fill="FBE4D5" w:themeFill="accent2" w:themeFillTint="33"/>
          </w:tcPr>
          <w:p w14:paraId="1F109C87" w14:textId="77777777" w:rsidR="00912A70" w:rsidRPr="00912A70" w:rsidRDefault="00912A70" w:rsidP="00912A70">
            <w:pPr>
              <w:autoSpaceDE w:val="0"/>
              <w:autoSpaceDN w:val="0"/>
              <w:adjustRightInd w:val="0"/>
              <w:rPr>
                <w:color w:val="000000"/>
                <w:lang w:val="en-US"/>
              </w:rPr>
            </w:pPr>
            <w:r w:rsidRPr="00912A70">
              <w:rPr>
                <w:b/>
                <w:bCs/>
                <w:color w:val="000000"/>
                <w:lang w:val="en-US"/>
              </w:rPr>
              <w:t xml:space="preserve">CARACTERISTICAS </w:t>
            </w:r>
          </w:p>
        </w:tc>
      </w:tr>
      <w:tr w:rsidR="00912A70" w:rsidRPr="00912A70" w14:paraId="0031B47D" w14:textId="77777777" w:rsidTr="00FD54E2">
        <w:trPr>
          <w:trHeight w:val="397"/>
          <w:jc w:val="center"/>
        </w:trPr>
        <w:tc>
          <w:tcPr>
            <w:tcW w:w="4605" w:type="dxa"/>
          </w:tcPr>
          <w:p w14:paraId="65036D97" w14:textId="77777777" w:rsidR="00912A70" w:rsidRPr="00912A70" w:rsidRDefault="00912A70" w:rsidP="00912A70">
            <w:pPr>
              <w:autoSpaceDE w:val="0"/>
              <w:autoSpaceDN w:val="0"/>
              <w:adjustRightInd w:val="0"/>
              <w:rPr>
                <w:rFonts w:ascii="Arial" w:hAnsi="Arial" w:cs="Arial"/>
                <w:b/>
                <w:bCs/>
                <w:color w:val="000000"/>
                <w:sz w:val="23"/>
                <w:szCs w:val="23"/>
                <w:lang w:val="en-US"/>
              </w:rPr>
            </w:pPr>
            <w:r w:rsidRPr="00912A70">
              <w:rPr>
                <w:rFonts w:ascii="Arial" w:hAnsi="Arial" w:cs="Arial"/>
                <w:b/>
                <w:bCs/>
                <w:color w:val="000000"/>
                <w:sz w:val="23"/>
                <w:szCs w:val="23"/>
                <w:lang w:val="en-US"/>
              </w:rPr>
              <w:t xml:space="preserve">Sexo (frecuencia/%) </w:t>
            </w:r>
          </w:p>
          <w:p w14:paraId="4F902095"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Masculino </w:t>
            </w:r>
          </w:p>
          <w:p w14:paraId="673ECF17"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Femenino </w:t>
            </w:r>
          </w:p>
        </w:tc>
        <w:tc>
          <w:tcPr>
            <w:tcW w:w="1589" w:type="dxa"/>
          </w:tcPr>
          <w:p w14:paraId="3ED0A1DA" w14:textId="77777777" w:rsidR="00FD54E2" w:rsidRDefault="00FD54E2" w:rsidP="00912A70">
            <w:pPr>
              <w:autoSpaceDE w:val="0"/>
              <w:autoSpaceDN w:val="0"/>
              <w:adjustRightInd w:val="0"/>
              <w:rPr>
                <w:color w:val="000000"/>
                <w:sz w:val="24"/>
                <w:szCs w:val="24"/>
                <w:lang w:val="en-US"/>
              </w:rPr>
            </w:pPr>
          </w:p>
          <w:p w14:paraId="6F9B92D3" w14:textId="372FC621" w:rsidR="00912A70" w:rsidRPr="00912A70" w:rsidRDefault="00912A70" w:rsidP="00912A70">
            <w:pPr>
              <w:autoSpaceDE w:val="0"/>
              <w:autoSpaceDN w:val="0"/>
              <w:adjustRightInd w:val="0"/>
              <w:rPr>
                <w:rFonts w:ascii="Arial" w:hAnsi="Arial" w:cs="Arial"/>
                <w:color w:val="000000"/>
                <w:sz w:val="23"/>
                <w:szCs w:val="23"/>
                <w:lang w:val="en-US"/>
              </w:rPr>
            </w:pPr>
            <w:r w:rsidRPr="00912A70">
              <w:rPr>
                <w:color w:val="000000"/>
                <w:sz w:val="24"/>
                <w:szCs w:val="24"/>
                <w:lang w:val="en-US"/>
              </w:rPr>
              <w:t>15</w:t>
            </w:r>
            <w:r w:rsidRPr="00912A70">
              <w:rPr>
                <w:rFonts w:ascii="Arial" w:hAnsi="Arial" w:cs="Arial"/>
                <w:color w:val="000000"/>
                <w:sz w:val="23"/>
                <w:szCs w:val="23"/>
                <w:lang w:val="en-US"/>
              </w:rPr>
              <w:t xml:space="preserve">(88.2) </w:t>
            </w:r>
          </w:p>
          <w:p w14:paraId="3E5C90F4"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2(11.8) </w:t>
            </w:r>
          </w:p>
        </w:tc>
      </w:tr>
      <w:tr w:rsidR="00912A70" w:rsidRPr="00912A70" w14:paraId="7B97CF40" w14:textId="77777777" w:rsidTr="00FD54E2">
        <w:trPr>
          <w:trHeight w:val="391"/>
          <w:jc w:val="center"/>
        </w:trPr>
        <w:tc>
          <w:tcPr>
            <w:tcW w:w="4605" w:type="dxa"/>
          </w:tcPr>
          <w:p w14:paraId="0DE5DCB4" w14:textId="77777777" w:rsidR="00912A70" w:rsidRPr="00912A70" w:rsidRDefault="00912A70" w:rsidP="00912A70">
            <w:pPr>
              <w:autoSpaceDE w:val="0"/>
              <w:autoSpaceDN w:val="0"/>
              <w:adjustRightInd w:val="0"/>
              <w:rPr>
                <w:rFonts w:ascii="Arial" w:hAnsi="Arial" w:cs="Arial"/>
                <w:b/>
                <w:bCs/>
                <w:color w:val="000000"/>
                <w:sz w:val="23"/>
                <w:szCs w:val="23"/>
                <w:lang w:val="en-US"/>
              </w:rPr>
            </w:pPr>
            <w:r w:rsidRPr="00912A70">
              <w:rPr>
                <w:rFonts w:ascii="Arial" w:hAnsi="Arial" w:cs="Arial"/>
                <w:b/>
                <w:bCs/>
                <w:color w:val="000000"/>
                <w:sz w:val="23"/>
                <w:szCs w:val="23"/>
                <w:lang w:val="en-US"/>
              </w:rPr>
              <w:t xml:space="preserve">Edad (años) </w:t>
            </w:r>
          </w:p>
          <w:p w14:paraId="4650AF32"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Mediana </w:t>
            </w:r>
          </w:p>
          <w:p w14:paraId="205DF627"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Rango </w:t>
            </w:r>
          </w:p>
        </w:tc>
        <w:tc>
          <w:tcPr>
            <w:tcW w:w="1589" w:type="dxa"/>
          </w:tcPr>
          <w:p w14:paraId="7C8C8DFB" w14:textId="77777777" w:rsidR="00FD54E2" w:rsidRDefault="00FD54E2" w:rsidP="00912A70">
            <w:pPr>
              <w:autoSpaceDE w:val="0"/>
              <w:autoSpaceDN w:val="0"/>
              <w:adjustRightInd w:val="0"/>
              <w:rPr>
                <w:rFonts w:ascii="Arial" w:hAnsi="Arial" w:cs="Arial"/>
                <w:color w:val="000000"/>
                <w:sz w:val="23"/>
                <w:szCs w:val="23"/>
                <w:lang w:val="en-US"/>
              </w:rPr>
            </w:pPr>
          </w:p>
          <w:p w14:paraId="4FB8EBD1" w14:textId="0B8EB398"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38 </w:t>
            </w:r>
          </w:p>
          <w:p w14:paraId="043B8CDE"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26-57 </w:t>
            </w:r>
          </w:p>
        </w:tc>
      </w:tr>
      <w:tr w:rsidR="00912A70" w:rsidRPr="00912A70" w14:paraId="14FCCCDA" w14:textId="77777777" w:rsidTr="00FD54E2">
        <w:trPr>
          <w:trHeight w:val="402"/>
          <w:jc w:val="center"/>
        </w:trPr>
        <w:tc>
          <w:tcPr>
            <w:tcW w:w="4605" w:type="dxa"/>
          </w:tcPr>
          <w:p w14:paraId="09F6C9B5" w14:textId="77777777" w:rsidR="00912A70" w:rsidRPr="00912A70" w:rsidRDefault="00912A70" w:rsidP="00912A70">
            <w:pPr>
              <w:autoSpaceDE w:val="0"/>
              <w:autoSpaceDN w:val="0"/>
              <w:adjustRightInd w:val="0"/>
              <w:rPr>
                <w:rFonts w:ascii="Arial" w:hAnsi="Arial" w:cs="Arial"/>
                <w:b/>
                <w:bCs/>
                <w:color w:val="000000"/>
                <w:sz w:val="23"/>
                <w:szCs w:val="23"/>
              </w:rPr>
            </w:pPr>
            <w:r w:rsidRPr="00912A70">
              <w:rPr>
                <w:rFonts w:ascii="Arial" w:hAnsi="Arial" w:cs="Arial"/>
                <w:b/>
                <w:bCs/>
                <w:color w:val="000000"/>
                <w:sz w:val="23"/>
                <w:szCs w:val="23"/>
              </w:rPr>
              <w:t xml:space="preserve">Conteo de CD4 (por mm3) </w:t>
            </w:r>
          </w:p>
          <w:p w14:paraId="5BA4D72E"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Mediana </w:t>
            </w:r>
          </w:p>
          <w:p w14:paraId="5DDFE2EA"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Rango </w:t>
            </w:r>
          </w:p>
        </w:tc>
        <w:tc>
          <w:tcPr>
            <w:tcW w:w="1589" w:type="dxa"/>
          </w:tcPr>
          <w:p w14:paraId="62A914C5" w14:textId="77777777" w:rsidR="00FD54E2" w:rsidRDefault="00FD54E2" w:rsidP="00912A70">
            <w:pPr>
              <w:autoSpaceDE w:val="0"/>
              <w:autoSpaceDN w:val="0"/>
              <w:adjustRightInd w:val="0"/>
              <w:rPr>
                <w:rFonts w:ascii="Arial" w:hAnsi="Arial" w:cs="Arial"/>
                <w:color w:val="000000"/>
                <w:sz w:val="23"/>
                <w:szCs w:val="23"/>
                <w:lang w:val="en-US"/>
              </w:rPr>
            </w:pPr>
          </w:p>
          <w:p w14:paraId="711117BA" w14:textId="00D0BB2B"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47 </w:t>
            </w:r>
          </w:p>
          <w:p w14:paraId="37C829EA"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12-276 </w:t>
            </w:r>
          </w:p>
        </w:tc>
      </w:tr>
      <w:tr w:rsidR="00912A70" w:rsidRPr="00912A70" w14:paraId="17E29A08" w14:textId="77777777" w:rsidTr="00FD54E2">
        <w:trPr>
          <w:trHeight w:val="948"/>
          <w:jc w:val="center"/>
        </w:trPr>
        <w:tc>
          <w:tcPr>
            <w:tcW w:w="4605" w:type="dxa"/>
          </w:tcPr>
          <w:p w14:paraId="414B8EAD" w14:textId="77777777" w:rsidR="00912A70" w:rsidRPr="00912A70" w:rsidRDefault="00912A70" w:rsidP="00912A70">
            <w:pPr>
              <w:autoSpaceDE w:val="0"/>
              <w:autoSpaceDN w:val="0"/>
              <w:adjustRightInd w:val="0"/>
              <w:rPr>
                <w:b/>
                <w:bCs/>
                <w:color w:val="000000"/>
                <w:sz w:val="23"/>
                <w:szCs w:val="23"/>
              </w:rPr>
            </w:pPr>
            <w:r w:rsidRPr="00912A70">
              <w:rPr>
                <w:rFonts w:ascii="Arial" w:hAnsi="Arial" w:cs="Arial"/>
                <w:b/>
                <w:bCs/>
                <w:color w:val="000000"/>
                <w:sz w:val="23"/>
                <w:szCs w:val="23"/>
              </w:rPr>
              <w:t xml:space="preserve">Terapia antirretroviral (frecuencia/%) </w:t>
            </w:r>
          </w:p>
          <w:p w14:paraId="0AAD67A1" w14:textId="77777777" w:rsidR="00912A70" w:rsidRPr="00912A70" w:rsidRDefault="00912A70" w:rsidP="00912A70">
            <w:pPr>
              <w:autoSpaceDE w:val="0"/>
              <w:autoSpaceDN w:val="0"/>
              <w:adjustRightInd w:val="0"/>
              <w:rPr>
                <w:rFonts w:ascii="Arial" w:hAnsi="Arial" w:cs="Arial"/>
                <w:color w:val="000000"/>
                <w:sz w:val="23"/>
                <w:szCs w:val="23"/>
              </w:rPr>
            </w:pPr>
            <w:r w:rsidRPr="00912A70">
              <w:rPr>
                <w:rFonts w:ascii="Arial" w:hAnsi="Arial" w:cs="Arial"/>
                <w:color w:val="000000"/>
                <w:sz w:val="23"/>
                <w:szCs w:val="23"/>
              </w:rPr>
              <w:t xml:space="preserve">Sin tratamiento </w:t>
            </w:r>
          </w:p>
          <w:p w14:paraId="396D4ABA" w14:textId="77777777" w:rsidR="00912A70" w:rsidRPr="00912A70" w:rsidRDefault="00912A70" w:rsidP="00912A70">
            <w:pPr>
              <w:autoSpaceDE w:val="0"/>
              <w:autoSpaceDN w:val="0"/>
              <w:adjustRightInd w:val="0"/>
              <w:rPr>
                <w:rFonts w:ascii="Arial" w:hAnsi="Arial" w:cs="Arial"/>
                <w:color w:val="000000"/>
                <w:sz w:val="23"/>
                <w:szCs w:val="23"/>
              </w:rPr>
            </w:pPr>
            <w:r w:rsidRPr="00912A70">
              <w:rPr>
                <w:rFonts w:ascii="Arial" w:hAnsi="Arial" w:cs="Arial"/>
                <w:color w:val="000000"/>
                <w:sz w:val="23"/>
                <w:szCs w:val="23"/>
              </w:rPr>
              <w:t xml:space="preserve">Con tratamiento </w:t>
            </w:r>
          </w:p>
          <w:p w14:paraId="30D8A719" w14:textId="77777777" w:rsidR="00912A70" w:rsidRPr="00912A70" w:rsidRDefault="00912A70" w:rsidP="00912A70">
            <w:pPr>
              <w:autoSpaceDE w:val="0"/>
              <w:autoSpaceDN w:val="0"/>
              <w:adjustRightInd w:val="0"/>
              <w:rPr>
                <w:rFonts w:ascii="Arial" w:hAnsi="Arial" w:cs="Arial"/>
                <w:color w:val="000000"/>
                <w:sz w:val="23"/>
                <w:szCs w:val="23"/>
              </w:rPr>
            </w:pPr>
            <w:r w:rsidRPr="00912A70">
              <w:rPr>
                <w:rFonts w:ascii="Arial" w:hAnsi="Arial" w:cs="Arial"/>
                <w:color w:val="000000"/>
                <w:sz w:val="23"/>
                <w:szCs w:val="23"/>
              </w:rPr>
              <w:t xml:space="preserve">FTC/EFV/TDF </w:t>
            </w:r>
          </w:p>
          <w:p w14:paraId="028F48A5" w14:textId="77777777" w:rsidR="00912A70" w:rsidRPr="00912A70" w:rsidRDefault="00912A70" w:rsidP="00912A70">
            <w:pPr>
              <w:autoSpaceDE w:val="0"/>
              <w:autoSpaceDN w:val="0"/>
              <w:adjustRightInd w:val="0"/>
              <w:rPr>
                <w:rFonts w:ascii="Arial" w:hAnsi="Arial" w:cs="Arial"/>
                <w:color w:val="000000"/>
                <w:sz w:val="23"/>
                <w:szCs w:val="23"/>
              </w:rPr>
            </w:pPr>
            <w:r w:rsidRPr="00912A70">
              <w:rPr>
                <w:rFonts w:ascii="Arial" w:hAnsi="Arial" w:cs="Arial"/>
                <w:color w:val="000000"/>
                <w:sz w:val="23"/>
                <w:szCs w:val="23"/>
              </w:rPr>
              <w:t xml:space="preserve">Otros esquemas </w:t>
            </w:r>
          </w:p>
        </w:tc>
        <w:tc>
          <w:tcPr>
            <w:tcW w:w="1589" w:type="dxa"/>
          </w:tcPr>
          <w:p w14:paraId="26435997" w14:textId="77777777" w:rsidR="00FD54E2" w:rsidRPr="00E03983" w:rsidRDefault="00FD54E2" w:rsidP="00912A70">
            <w:pPr>
              <w:autoSpaceDE w:val="0"/>
              <w:autoSpaceDN w:val="0"/>
              <w:adjustRightInd w:val="0"/>
              <w:rPr>
                <w:rFonts w:ascii="Arial" w:hAnsi="Arial" w:cs="Arial"/>
                <w:color w:val="000000"/>
                <w:sz w:val="23"/>
                <w:szCs w:val="23"/>
              </w:rPr>
            </w:pPr>
          </w:p>
          <w:p w14:paraId="4DE29E42" w14:textId="2528B8B9"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2 (11.8) </w:t>
            </w:r>
          </w:p>
          <w:p w14:paraId="09DE2C4A"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15 (88.2) </w:t>
            </w:r>
          </w:p>
          <w:p w14:paraId="2B55C2FD"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10 (58.8) </w:t>
            </w:r>
          </w:p>
          <w:p w14:paraId="14262EEB" w14:textId="77777777" w:rsidR="00912A70" w:rsidRPr="00912A70" w:rsidRDefault="00912A70" w:rsidP="00912A70">
            <w:pPr>
              <w:autoSpaceDE w:val="0"/>
              <w:autoSpaceDN w:val="0"/>
              <w:adjustRightInd w:val="0"/>
              <w:rPr>
                <w:rFonts w:ascii="Arial" w:hAnsi="Arial" w:cs="Arial"/>
                <w:color w:val="000000"/>
                <w:sz w:val="23"/>
                <w:szCs w:val="23"/>
                <w:lang w:val="en-US"/>
              </w:rPr>
            </w:pPr>
            <w:r w:rsidRPr="00912A70">
              <w:rPr>
                <w:rFonts w:ascii="Arial" w:hAnsi="Arial" w:cs="Arial"/>
                <w:color w:val="000000"/>
                <w:sz w:val="23"/>
                <w:szCs w:val="23"/>
                <w:lang w:val="en-US"/>
              </w:rPr>
              <w:t xml:space="preserve">5 (29.4) </w:t>
            </w:r>
          </w:p>
        </w:tc>
      </w:tr>
      <w:tr w:rsidR="00FD54E2" w:rsidRPr="00FD54E2" w14:paraId="35111B27" w14:textId="77777777" w:rsidTr="00FD54E2">
        <w:tblPrEx>
          <w:tblLook w:val="04A0" w:firstRow="1" w:lastRow="0" w:firstColumn="1" w:lastColumn="0" w:noHBand="0" w:noVBand="1"/>
        </w:tblPrEx>
        <w:trPr>
          <w:trHeight w:val="809"/>
          <w:jc w:val="center"/>
        </w:trPr>
        <w:tc>
          <w:tcPr>
            <w:tcW w:w="4605" w:type="dxa"/>
          </w:tcPr>
          <w:p w14:paraId="53632B05" w14:textId="43F5C540" w:rsidR="00FD54E2" w:rsidRPr="00FD54E2" w:rsidRDefault="00FD54E2" w:rsidP="00FD54E2">
            <w:pPr>
              <w:autoSpaceDE w:val="0"/>
              <w:autoSpaceDN w:val="0"/>
              <w:adjustRightInd w:val="0"/>
              <w:rPr>
                <w:rFonts w:ascii="Arial" w:hAnsi="Arial" w:cs="Arial"/>
                <w:b/>
                <w:bCs/>
                <w:color w:val="000000"/>
                <w:sz w:val="23"/>
                <w:szCs w:val="23"/>
              </w:rPr>
            </w:pPr>
            <w:r w:rsidRPr="00FD54E2">
              <w:rPr>
                <w:rFonts w:ascii="Arial" w:hAnsi="Arial" w:cs="Arial"/>
                <w:b/>
                <w:bCs/>
                <w:color w:val="000000"/>
                <w:sz w:val="23"/>
                <w:szCs w:val="23"/>
              </w:rPr>
              <w:t>Tratamiento antimicótico (frecuencia/%)</w:t>
            </w:r>
          </w:p>
          <w:p w14:paraId="1E764D57" w14:textId="469D09CE" w:rsidR="00FD54E2" w:rsidRPr="00FD54E2" w:rsidRDefault="00FD54E2" w:rsidP="00FD54E2">
            <w:pPr>
              <w:autoSpaceDE w:val="0"/>
              <w:autoSpaceDN w:val="0"/>
              <w:adjustRightInd w:val="0"/>
              <w:rPr>
                <w:rFonts w:ascii="Arial" w:hAnsi="Arial" w:cs="Arial"/>
                <w:color w:val="000000"/>
                <w:sz w:val="23"/>
                <w:szCs w:val="23"/>
              </w:rPr>
            </w:pPr>
            <w:r w:rsidRPr="00FD54E2">
              <w:rPr>
                <w:rFonts w:ascii="Arial" w:hAnsi="Arial" w:cs="Arial"/>
                <w:color w:val="000000"/>
                <w:sz w:val="23"/>
                <w:szCs w:val="23"/>
              </w:rPr>
              <w:t>Anfo B + Fluconazol IV 800 mg</w:t>
            </w:r>
          </w:p>
          <w:p w14:paraId="3B81B302" w14:textId="118E10B6"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Anfo B</w:t>
            </w:r>
          </w:p>
          <w:p w14:paraId="79BD3A9A" w14:textId="1223C6AD"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Otros</w:t>
            </w:r>
          </w:p>
        </w:tc>
        <w:tc>
          <w:tcPr>
            <w:tcW w:w="1589" w:type="dxa"/>
          </w:tcPr>
          <w:p w14:paraId="5E66B488" w14:textId="77777777" w:rsidR="00FD54E2" w:rsidRDefault="00FD54E2" w:rsidP="00FD54E2">
            <w:pPr>
              <w:autoSpaceDE w:val="0"/>
              <w:autoSpaceDN w:val="0"/>
              <w:adjustRightInd w:val="0"/>
              <w:rPr>
                <w:rFonts w:ascii="Arial" w:hAnsi="Arial" w:cs="Arial"/>
                <w:color w:val="000000"/>
                <w:sz w:val="23"/>
                <w:szCs w:val="23"/>
                <w:lang w:val="en-US"/>
              </w:rPr>
            </w:pPr>
          </w:p>
          <w:p w14:paraId="6B7E0ED8" w14:textId="4BE9AB8A"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12 (70.6) </w:t>
            </w:r>
          </w:p>
          <w:p w14:paraId="5E0C59B2"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2 (11.8) </w:t>
            </w:r>
          </w:p>
          <w:p w14:paraId="1AD9EACB"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3 (17.7) </w:t>
            </w:r>
          </w:p>
        </w:tc>
      </w:tr>
      <w:tr w:rsidR="00FD54E2" w:rsidRPr="00FD54E2" w14:paraId="0289CA4E" w14:textId="77777777" w:rsidTr="00FD54E2">
        <w:tblPrEx>
          <w:tblLook w:val="04A0" w:firstRow="1" w:lastRow="0" w:firstColumn="1" w:lastColumn="0" w:noHBand="0" w:noVBand="1"/>
        </w:tblPrEx>
        <w:trPr>
          <w:trHeight w:val="391"/>
          <w:jc w:val="center"/>
        </w:trPr>
        <w:tc>
          <w:tcPr>
            <w:tcW w:w="4605" w:type="dxa"/>
          </w:tcPr>
          <w:p w14:paraId="6C4B83DA" w14:textId="77777777" w:rsidR="00FD54E2" w:rsidRPr="00FD54E2" w:rsidRDefault="00FD54E2" w:rsidP="00FD54E2">
            <w:pPr>
              <w:autoSpaceDE w:val="0"/>
              <w:autoSpaceDN w:val="0"/>
              <w:adjustRightInd w:val="0"/>
              <w:rPr>
                <w:rFonts w:ascii="Arial" w:hAnsi="Arial" w:cs="Arial"/>
                <w:b/>
                <w:bCs/>
                <w:color w:val="000000"/>
                <w:sz w:val="23"/>
                <w:szCs w:val="23"/>
              </w:rPr>
            </w:pPr>
            <w:r w:rsidRPr="00FD54E2">
              <w:rPr>
                <w:rFonts w:ascii="Arial" w:hAnsi="Arial" w:cs="Arial"/>
                <w:b/>
                <w:bCs/>
                <w:color w:val="000000"/>
                <w:sz w:val="23"/>
                <w:szCs w:val="23"/>
              </w:rPr>
              <w:t xml:space="preserve">Alteraciones Neurológicas </w:t>
            </w:r>
          </w:p>
          <w:p w14:paraId="280E367C" w14:textId="77777777" w:rsidR="00FD54E2" w:rsidRPr="00FD54E2" w:rsidRDefault="00FD54E2" w:rsidP="00FD54E2">
            <w:pPr>
              <w:autoSpaceDE w:val="0"/>
              <w:autoSpaceDN w:val="0"/>
              <w:adjustRightInd w:val="0"/>
              <w:rPr>
                <w:rFonts w:ascii="Arial" w:hAnsi="Arial" w:cs="Arial"/>
                <w:color w:val="000000"/>
                <w:sz w:val="23"/>
                <w:szCs w:val="23"/>
              </w:rPr>
            </w:pPr>
            <w:r w:rsidRPr="00FD54E2">
              <w:rPr>
                <w:rFonts w:ascii="Arial" w:hAnsi="Arial" w:cs="Arial"/>
                <w:color w:val="000000"/>
                <w:sz w:val="23"/>
                <w:szCs w:val="23"/>
              </w:rPr>
              <w:t xml:space="preserve">Con alteraciones </w:t>
            </w:r>
          </w:p>
          <w:p w14:paraId="444D094A" w14:textId="77777777" w:rsidR="00FD54E2" w:rsidRPr="00FD54E2" w:rsidRDefault="00FD54E2" w:rsidP="00FD54E2">
            <w:pPr>
              <w:autoSpaceDE w:val="0"/>
              <w:autoSpaceDN w:val="0"/>
              <w:adjustRightInd w:val="0"/>
              <w:rPr>
                <w:rFonts w:ascii="Arial" w:hAnsi="Arial" w:cs="Arial"/>
                <w:color w:val="000000"/>
                <w:sz w:val="23"/>
                <w:szCs w:val="23"/>
              </w:rPr>
            </w:pPr>
            <w:r w:rsidRPr="00FD54E2">
              <w:rPr>
                <w:rFonts w:ascii="Arial" w:hAnsi="Arial" w:cs="Arial"/>
                <w:color w:val="000000"/>
                <w:sz w:val="23"/>
                <w:szCs w:val="23"/>
              </w:rPr>
              <w:t xml:space="preserve">Sin alteraciones </w:t>
            </w:r>
          </w:p>
        </w:tc>
        <w:tc>
          <w:tcPr>
            <w:tcW w:w="1589" w:type="dxa"/>
          </w:tcPr>
          <w:p w14:paraId="11322608" w14:textId="77777777" w:rsidR="00FD54E2" w:rsidRPr="00E03983" w:rsidRDefault="00FD54E2" w:rsidP="00FD54E2">
            <w:pPr>
              <w:autoSpaceDE w:val="0"/>
              <w:autoSpaceDN w:val="0"/>
              <w:adjustRightInd w:val="0"/>
              <w:rPr>
                <w:rFonts w:ascii="Arial" w:hAnsi="Arial" w:cs="Arial"/>
                <w:color w:val="000000"/>
                <w:sz w:val="23"/>
                <w:szCs w:val="23"/>
              </w:rPr>
            </w:pPr>
          </w:p>
          <w:p w14:paraId="5A6A3858" w14:textId="6B03F09A"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7 (41.2) </w:t>
            </w:r>
          </w:p>
          <w:p w14:paraId="3800675A"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10 (58.8) </w:t>
            </w:r>
          </w:p>
        </w:tc>
      </w:tr>
      <w:tr w:rsidR="00FD54E2" w:rsidRPr="00FD54E2" w14:paraId="4B277664" w14:textId="77777777" w:rsidTr="00FD54E2">
        <w:tblPrEx>
          <w:tblLook w:val="04A0" w:firstRow="1" w:lastRow="0" w:firstColumn="1" w:lastColumn="0" w:noHBand="0" w:noVBand="1"/>
        </w:tblPrEx>
        <w:trPr>
          <w:trHeight w:val="391"/>
          <w:jc w:val="center"/>
        </w:trPr>
        <w:tc>
          <w:tcPr>
            <w:tcW w:w="4605" w:type="dxa"/>
          </w:tcPr>
          <w:p w14:paraId="7B22C74F" w14:textId="77777777" w:rsidR="00FD54E2" w:rsidRPr="00FD54E2" w:rsidRDefault="00FD54E2" w:rsidP="00FD54E2">
            <w:pPr>
              <w:autoSpaceDE w:val="0"/>
              <w:autoSpaceDN w:val="0"/>
              <w:adjustRightInd w:val="0"/>
              <w:rPr>
                <w:rFonts w:ascii="Arial" w:hAnsi="Arial" w:cs="Arial"/>
                <w:b/>
                <w:bCs/>
                <w:color w:val="000000"/>
                <w:sz w:val="23"/>
                <w:szCs w:val="23"/>
                <w:lang w:val="en-US"/>
              </w:rPr>
            </w:pPr>
            <w:r w:rsidRPr="00FD54E2">
              <w:rPr>
                <w:rFonts w:ascii="Arial" w:hAnsi="Arial" w:cs="Arial"/>
                <w:b/>
                <w:bCs/>
                <w:color w:val="000000"/>
                <w:sz w:val="23"/>
                <w:szCs w:val="23"/>
                <w:lang w:val="en-US"/>
              </w:rPr>
              <w:t xml:space="preserve">Hospitalización (días) </w:t>
            </w:r>
          </w:p>
          <w:p w14:paraId="00450BA8"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Mediana </w:t>
            </w:r>
          </w:p>
          <w:p w14:paraId="73DCCA13"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Rango </w:t>
            </w:r>
          </w:p>
        </w:tc>
        <w:tc>
          <w:tcPr>
            <w:tcW w:w="1589" w:type="dxa"/>
          </w:tcPr>
          <w:p w14:paraId="25633C10" w14:textId="77777777" w:rsidR="00FD54E2" w:rsidRDefault="00FD54E2" w:rsidP="00FD54E2">
            <w:pPr>
              <w:autoSpaceDE w:val="0"/>
              <w:autoSpaceDN w:val="0"/>
              <w:adjustRightInd w:val="0"/>
              <w:rPr>
                <w:rFonts w:ascii="Arial" w:hAnsi="Arial" w:cs="Arial"/>
                <w:color w:val="000000"/>
                <w:sz w:val="23"/>
                <w:szCs w:val="23"/>
                <w:lang w:val="en-US"/>
              </w:rPr>
            </w:pPr>
          </w:p>
          <w:p w14:paraId="784134E2" w14:textId="29470A4F"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16 </w:t>
            </w:r>
          </w:p>
          <w:p w14:paraId="7896C599" w14:textId="77777777" w:rsidR="00FD54E2" w:rsidRPr="00FD54E2" w:rsidRDefault="00FD54E2" w:rsidP="00FD54E2">
            <w:pPr>
              <w:autoSpaceDE w:val="0"/>
              <w:autoSpaceDN w:val="0"/>
              <w:adjustRightInd w:val="0"/>
              <w:rPr>
                <w:rFonts w:ascii="Arial" w:hAnsi="Arial" w:cs="Arial"/>
                <w:color w:val="000000"/>
                <w:sz w:val="23"/>
                <w:szCs w:val="23"/>
                <w:lang w:val="en-US"/>
              </w:rPr>
            </w:pPr>
            <w:r w:rsidRPr="00FD54E2">
              <w:rPr>
                <w:rFonts w:ascii="Arial" w:hAnsi="Arial" w:cs="Arial"/>
                <w:color w:val="000000"/>
                <w:sz w:val="23"/>
                <w:szCs w:val="23"/>
                <w:lang w:val="en-US"/>
              </w:rPr>
              <w:t xml:space="preserve">6 - 47 </w:t>
            </w:r>
          </w:p>
        </w:tc>
      </w:tr>
    </w:tbl>
    <w:p w14:paraId="22DCC00B" w14:textId="64DDF512" w:rsidR="00AF3DAC" w:rsidRPr="00E03983" w:rsidRDefault="00FD54E2" w:rsidP="00FD54E2">
      <w:pPr>
        <w:spacing w:line="240" w:lineRule="auto"/>
        <w:jc w:val="center"/>
        <w:rPr>
          <w:rFonts w:ascii="Times New Roman" w:eastAsia="Arial" w:hAnsi="Times New Roman" w:cs="Times New Roman"/>
          <w:sz w:val="24"/>
          <w:szCs w:val="24"/>
        </w:rPr>
      </w:pPr>
      <w:r>
        <w:rPr>
          <w:sz w:val="16"/>
          <w:szCs w:val="16"/>
        </w:rPr>
        <w:t>Fuente: Base de datos. Registros médicos del Complejo Hospitalario Dr. Arnulfo Arias Madrid. Panamá 2017</w:t>
      </w:r>
    </w:p>
    <w:p w14:paraId="09C02B29" w14:textId="77777777" w:rsidR="00AF3DAC" w:rsidRPr="00E03983" w:rsidRDefault="00AF3DAC" w:rsidP="000E5BBC">
      <w:pPr>
        <w:spacing w:line="240" w:lineRule="auto"/>
        <w:rPr>
          <w:rFonts w:ascii="Times New Roman" w:eastAsia="Arial" w:hAnsi="Times New Roman" w:cs="Times New Roman"/>
          <w:sz w:val="24"/>
          <w:szCs w:val="24"/>
        </w:rPr>
      </w:pPr>
    </w:p>
    <w:p w14:paraId="1876CDC6" w14:textId="320F9B51" w:rsidR="00AF3DAC" w:rsidRPr="00E03983" w:rsidRDefault="00AF3DAC" w:rsidP="000E5BBC">
      <w:pPr>
        <w:spacing w:line="240" w:lineRule="auto"/>
        <w:rPr>
          <w:rFonts w:ascii="Times New Roman" w:eastAsia="Arial" w:hAnsi="Times New Roman" w:cs="Times New Roman"/>
          <w:sz w:val="24"/>
          <w:szCs w:val="24"/>
        </w:rPr>
      </w:pPr>
    </w:p>
    <w:p w14:paraId="1BC63BDC" w14:textId="1EF31AB3" w:rsidR="00FD54E2" w:rsidRPr="00E03983" w:rsidRDefault="00FD54E2" w:rsidP="000E5BBC">
      <w:pPr>
        <w:spacing w:line="240" w:lineRule="auto"/>
        <w:rPr>
          <w:rFonts w:ascii="Times New Roman" w:eastAsia="Arial" w:hAnsi="Times New Roman" w:cs="Times New Roman"/>
          <w:sz w:val="24"/>
          <w:szCs w:val="24"/>
        </w:rPr>
      </w:pPr>
    </w:p>
    <w:p w14:paraId="6F540C35" w14:textId="06653C87" w:rsidR="00FD54E2" w:rsidRDefault="00FD54E2" w:rsidP="000E5BBC">
      <w:pPr>
        <w:spacing w:line="240" w:lineRule="auto"/>
        <w:rPr>
          <w:rFonts w:ascii="Times New Roman" w:eastAsia="Arial" w:hAnsi="Times New Roman" w:cs="Times New Roman"/>
          <w:sz w:val="24"/>
          <w:szCs w:val="24"/>
        </w:rPr>
      </w:pPr>
    </w:p>
    <w:p w14:paraId="0DAE16FC" w14:textId="77777777" w:rsidR="00430427" w:rsidRDefault="00430427" w:rsidP="000E5BBC">
      <w:pPr>
        <w:spacing w:line="240" w:lineRule="auto"/>
        <w:rPr>
          <w:rFonts w:ascii="Times New Roman" w:eastAsia="Arial" w:hAnsi="Times New Roman" w:cs="Times New Roman"/>
          <w:sz w:val="24"/>
          <w:szCs w:val="24"/>
        </w:rPr>
      </w:pPr>
    </w:p>
    <w:p w14:paraId="6AB46EE0" w14:textId="77777777" w:rsidR="00430427" w:rsidRDefault="00430427" w:rsidP="000E5BBC">
      <w:pPr>
        <w:spacing w:line="240" w:lineRule="auto"/>
        <w:rPr>
          <w:rFonts w:ascii="Times New Roman" w:eastAsia="Arial" w:hAnsi="Times New Roman" w:cs="Times New Roman"/>
          <w:sz w:val="24"/>
          <w:szCs w:val="24"/>
        </w:rPr>
      </w:pPr>
    </w:p>
    <w:p w14:paraId="270E8375" w14:textId="77777777" w:rsidR="00430427" w:rsidRDefault="00430427" w:rsidP="000E5BBC">
      <w:pPr>
        <w:spacing w:line="240" w:lineRule="auto"/>
        <w:rPr>
          <w:rFonts w:ascii="Times New Roman" w:eastAsia="Arial" w:hAnsi="Times New Roman" w:cs="Times New Roman"/>
          <w:sz w:val="24"/>
          <w:szCs w:val="24"/>
        </w:rPr>
      </w:pPr>
    </w:p>
    <w:p w14:paraId="72D5F18C" w14:textId="77777777" w:rsidR="00430427" w:rsidRDefault="00430427" w:rsidP="000E5BBC">
      <w:pPr>
        <w:spacing w:line="240" w:lineRule="auto"/>
        <w:rPr>
          <w:rFonts w:ascii="Times New Roman" w:eastAsia="Arial" w:hAnsi="Times New Roman" w:cs="Times New Roman"/>
          <w:sz w:val="24"/>
          <w:szCs w:val="24"/>
        </w:rPr>
      </w:pPr>
    </w:p>
    <w:p w14:paraId="14A08418" w14:textId="77777777" w:rsidR="00430427" w:rsidRPr="00E03983" w:rsidRDefault="00430427" w:rsidP="000E5BBC">
      <w:pPr>
        <w:spacing w:line="240" w:lineRule="auto"/>
        <w:rPr>
          <w:rFonts w:ascii="Times New Roman" w:eastAsia="Arial" w:hAnsi="Times New Roman" w:cs="Times New Roman"/>
          <w:sz w:val="24"/>
          <w:szCs w:val="24"/>
        </w:rPr>
      </w:pPr>
    </w:p>
    <w:p w14:paraId="74CFB07A" w14:textId="77777777" w:rsidR="00FD54E2" w:rsidRPr="00E03983" w:rsidRDefault="00FD54E2" w:rsidP="000E5BBC">
      <w:pPr>
        <w:spacing w:line="240" w:lineRule="auto"/>
        <w:rPr>
          <w:rFonts w:ascii="Times New Roman" w:eastAsia="Arial" w:hAnsi="Times New Roman" w:cs="Times New Roman"/>
          <w:sz w:val="24"/>
          <w:szCs w:val="24"/>
        </w:rPr>
      </w:pPr>
    </w:p>
    <w:p w14:paraId="4DA5FFB2" w14:textId="77777777" w:rsidR="006E4ECE" w:rsidRPr="00E03983" w:rsidRDefault="006E4ECE" w:rsidP="000E5BBC">
      <w:pPr>
        <w:spacing w:line="240" w:lineRule="auto"/>
        <w:rPr>
          <w:rFonts w:ascii="Times New Roman" w:eastAsia="Arial" w:hAnsi="Times New Roman" w:cs="Times New Roman"/>
          <w:sz w:val="24"/>
          <w:szCs w:val="24"/>
        </w:rPr>
      </w:pPr>
    </w:p>
    <w:p w14:paraId="25626F9B" w14:textId="77777777" w:rsidR="00AF3DAC" w:rsidRPr="000E5BBC" w:rsidRDefault="00F444A6" w:rsidP="000E5BBC">
      <w:pPr>
        <w:spacing w:line="240" w:lineRule="auto"/>
        <w:rPr>
          <w:rFonts w:ascii="Times New Roman" w:hAnsi="Times New Roman" w:cs="Times New Roman"/>
          <w:sz w:val="24"/>
          <w:szCs w:val="24"/>
        </w:rPr>
      </w:pPr>
      <w:r w:rsidRPr="000E5BBC">
        <w:rPr>
          <w:rFonts w:ascii="Times New Roman" w:eastAsia="Arial" w:hAnsi="Times New Roman" w:cs="Times New Roman"/>
          <w:sz w:val="24"/>
          <w:szCs w:val="24"/>
        </w:rPr>
        <w:t xml:space="preserve">Figura I. Distribución de los pacientes de acuerdo con los síntomas neurológicos que presentaron a su ingreso </w:t>
      </w:r>
      <w:r w:rsidRPr="000E5BBC">
        <w:rPr>
          <w:rFonts w:ascii="Times New Roman" w:hAnsi="Times New Roman" w:cs="Times New Roman"/>
          <w:noProof/>
          <w:sz w:val="24"/>
          <w:szCs w:val="24"/>
        </w:rPr>
        <w:drawing>
          <wp:anchor distT="0" distB="0" distL="114300" distR="114300" simplePos="0" relativeHeight="251658240" behindDoc="0" locked="0" layoutInCell="1" hidden="0" allowOverlap="1" wp14:anchorId="0C0DE269" wp14:editId="12DDD68A">
            <wp:simplePos x="0" y="0"/>
            <wp:positionH relativeFrom="column">
              <wp:posOffset>243840</wp:posOffset>
            </wp:positionH>
            <wp:positionV relativeFrom="paragraph">
              <wp:posOffset>594360</wp:posOffset>
            </wp:positionV>
            <wp:extent cx="5486400" cy="3200400"/>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4C604A13" w14:textId="77777777" w:rsidR="00AF3DAC" w:rsidRPr="000E5BBC" w:rsidRDefault="00AF3DAC" w:rsidP="000E5BBC">
      <w:pPr>
        <w:spacing w:line="240" w:lineRule="auto"/>
        <w:rPr>
          <w:rFonts w:ascii="Times New Roman" w:hAnsi="Times New Roman" w:cs="Times New Roman"/>
          <w:sz w:val="24"/>
          <w:szCs w:val="24"/>
        </w:rPr>
      </w:pPr>
    </w:p>
    <w:p w14:paraId="2506A0A8" w14:textId="77777777" w:rsidR="00AF3DAC" w:rsidRPr="000E5BBC" w:rsidRDefault="00AF3DAC" w:rsidP="000E5BBC">
      <w:pPr>
        <w:spacing w:line="240" w:lineRule="auto"/>
        <w:rPr>
          <w:rFonts w:ascii="Times New Roman" w:hAnsi="Times New Roman" w:cs="Times New Roman"/>
          <w:sz w:val="24"/>
          <w:szCs w:val="24"/>
        </w:rPr>
      </w:pPr>
    </w:p>
    <w:p w14:paraId="0A4E1A23" w14:textId="77777777" w:rsidR="00AF3DAC" w:rsidRPr="000E5BBC" w:rsidRDefault="00AF3DAC" w:rsidP="000E5BBC">
      <w:pPr>
        <w:spacing w:line="240" w:lineRule="auto"/>
        <w:rPr>
          <w:rFonts w:ascii="Times New Roman" w:hAnsi="Times New Roman" w:cs="Times New Roman"/>
          <w:sz w:val="24"/>
          <w:szCs w:val="24"/>
        </w:rPr>
      </w:pPr>
    </w:p>
    <w:p w14:paraId="714D60AB" w14:textId="77777777" w:rsidR="00AF3DAC" w:rsidRPr="000E5BBC" w:rsidRDefault="00AF3DAC" w:rsidP="000E5BBC">
      <w:pPr>
        <w:spacing w:line="240" w:lineRule="auto"/>
        <w:rPr>
          <w:rFonts w:ascii="Times New Roman" w:hAnsi="Times New Roman" w:cs="Times New Roman"/>
          <w:sz w:val="24"/>
          <w:szCs w:val="24"/>
        </w:rPr>
      </w:pPr>
    </w:p>
    <w:p w14:paraId="4082638D" w14:textId="77777777" w:rsidR="00AF3DAC" w:rsidRPr="000E5BBC" w:rsidRDefault="00AF3DAC" w:rsidP="000E5BBC">
      <w:pPr>
        <w:spacing w:line="240" w:lineRule="auto"/>
        <w:rPr>
          <w:rFonts w:ascii="Times New Roman" w:hAnsi="Times New Roman" w:cs="Times New Roman"/>
          <w:sz w:val="24"/>
          <w:szCs w:val="24"/>
        </w:rPr>
      </w:pPr>
    </w:p>
    <w:p w14:paraId="6531F38F" w14:textId="77777777" w:rsidR="00AF3DAC" w:rsidRPr="000E5BBC" w:rsidRDefault="00AF3DAC" w:rsidP="000E5BBC">
      <w:pPr>
        <w:spacing w:line="240" w:lineRule="auto"/>
        <w:rPr>
          <w:rFonts w:ascii="Times New Roman" w:hAnsi="Times New Roman" w:cs="Times New Roman"/>
          <w:sz w:val="24"/>
          <w:szCs w:val="24"/>
        </w:rPr>
      </w:pPr>
    </w:p>
    <w:p w14:paraId="48599EE6" w14:textId="77777777" w:rsidR="00AF3DAC" w:rsidRPr="000E5BBC" w:rsidRDefault="00AF3DAC" w:rsidP="000E5BBC">
      <w:pPr>
        <w:spacing w:line="240" w:lineRule="auto"/>
        <w:rPr>
          <w:rFonts w:ascii="Times New Roman" w:hAnsi="Times New Roman" w:cs="Times New Roman"/>
          <w:sz w:val="24"/>
          <w:szCs w:val="24"/>
        </w:rPr>
      </w:pPr>
    </w:p>
    <w:p w14:paraId="3131B140" w14:textId="77777777" w:rsidR="00AF3DAC" w:rsidRPr="000E5BBC" w:rsidRDefault="00AF3DAC" w:rsidP="000E5BBC">
      <w:pPr>
        <w:spacing w:line="240" w:lineRule="auto"/>
        <w:rPr>
          <w:rFonts w:ascii="Times New Roman" w:hAnsi="Times New Roman" w:cs="Times New Roman"/>
          <w:sz w:val="24"/>
          <w:szCs w:val="24"/>
        </w:rPr>
      </w:pPr>
    </w:p>
    <w:p w14:paraId="5A69B9F7" w14:textId="77777777" w:rsidR="00AF3DAC" w:rsidRPr="000E5BBC" w:rsidRDefault="00AF3DAC" w:rsidP="000E5BBC">
      <w:pPr>
        <w:spacing w:line="240" w:lineRule="auto"/>
        <w:rPr>
          <w:rFonts w:ascii="Times New Roman" w:hAnsi="Times New Roman" w:cs="Times New Roman"/>
          <w:sz w:val="24"/>
          <w:szCs w:val="24"/>
        </w:rPr>
      </w:pPr>
    </w:p>
    <w:p w14:paraId="25103124" w14:textId="77777777" w:rsidR="00AF3DAC" w:rsidRPr="000E5BBC" w:rsidRDefault="00AF3DAC" w:rsidP="000E5BBC">
      <w:pPr>
        <w:spacing w:line="240" w:lineRule="auto"/>
        <w:rPr>
          <w:rFonts w:ascii="Times New Roman" w:hAnsi="Times New Roman" w:cs="Times New Roman"/>
          <w:sz w:val="24"/>
          <w:szCs w:val="24"/>
        </w:rPr>
      </w:pPr>
    </w:p>
    <w:p w14:paraId="793A07F1" w14:textId="77777777" w:rsidR="00AF3DAC" w:rsidRPr="000E5BBC" w:rsidRDefault="00AF3DAC" w:rsidP="000E5BBC">
      <w:pPr>
        <w:spacing w:line="240" w:lineRule="auto"/>
        <w:rPr>
          <w:rFonts w:ascii="Times New Roman" w:hAnsi="Times New Roman" w:cs="Times New Roman"/>
          <w:sz w:val="24"/>
          <w:szCs w:val="24"/>
        </w:rPr>
      </w:pPr>
    </w:p>
    <w:p w14:paraId="424FAEE6" w14:textId="77777777" w:rsidR="00AF3DAC" w:rsidRPr="000E5BBC" w:rsidRDefault="00AF3DAC" w:rsidP="000E5BBC">
      <w:pPr>
        <w:spacing w:line="240" w:lineRule="auto"/>
        <w:rPr>
          <w:rFonts w:ascii="Times New Roman" w:hAnsi="Times New Roman" w:cs="Times New Roman"/>
          <w:sz w:val="24"/>
          <w:szCs w:val="24"/>
        </w:rPr>
      </w:pPr>
    </w:p>
    <w:p w14:paraId="05F57B42" w14:textId="7301C2F3" w:rsidR="00AF3DAC" w:rsidRDefault="00FD54E2" w:rsidP="00FD54E2">
      <w:pPr>
        <w:spacing w:line="240" w:lineRule="auto"/>
        <w:jc w:val="center"/>
        <w:rPr>
          <w:rFonts w:ascii="Times New Roman" w:hAnsi="Times New Roman" w:cs="Times New Roman"/>
          <w:sz w:val="24"/>
          <w:szCs w:val="24"/>
        </w:rPr>
      </w:pPr>
      <w:r>
        <w:rPr>
          <w:sz w:val="16"/>
          <w:szCs w:val="16"/>
        </w:rPr>
        <w:t>Fuente: Base de datos. Registros médicos del Complejo Hospitalario Dr. Arnulfo Arias Madrid. Panamá 2017</w:t>
      </w:r>
    </w:p>
    <w:p w14:paraId="71C548BC" w14:textId="77777777" w:rsidR="00CD23D9" w:rsidRDefault="00CD23D9" w:rsidP="000E5BBC">
      <w:pPr>
        <w:spacing w:line="240" w:lineRule="auto"/>
        <w:rPr>
          <w:rFonts w:ascii="Times New Roman" w:hAnsi="Times New Roman" w:cs="Times New Roman"/>
          <w:sz w:val="24"/>
          <w:szCs w:val="24"/>
        </w:rPr>
      </w:pPr>
    </w:p>
    <w:p w14:paraId="76B8EA1D" w14:textId="77777777" w:rsidR="00F26368" w:rsidRDefault="00F26368" w:rsidP="000E5BBC">
      <w:pPr>
        <w:spacing w:line="240" w:lineRule="auto"/>
        <w:rPr>
          <w:rFonts w:ascii="Times New Roman" w:hAnsi="Times New Roman" w:cs="Times New Roman"/>
          <w:sz w:val="24"/>
          <w:szCs w:val="24"/>
        </w:rPr>
      </w:pPr>
    </w:p>
    <w:p w14:paraId="544CE3DB" w14:textId="77777777" w:rsidR="00F26368" w:rsidRDefault="00F26368" w:rsidP="000E5BBC">
      <w:pPr>
        <w:spacing w:line="240" w:lineRule="auto"/>
        <w:rPr>
          <w:rFonts w:ascii="Times New Roman" w:hAnsi="Times New Roman" w:cs="Times New Roman"/>
          <w:sz w:val="24"/>
          <w:szCs w:val="24"/>
        </w:rPr>
      </w:pPr>
    </w:p>
    <w:p w14:paraId="6CF84656" w14:textId="77777777" w:rsidR="00430427" w:rsidRDefault="00430427" w:rsidP="000E5BBC">
      <w:pPr>
        <w:spacing w:line="240" w:lineRule="auto"/>
        <w:rPr>
          <w:rFonts w:ascii="Times New Roman" w:hAnsi="Times New Roman" w:cs="Times New Roman"/>
          <w:sz w:val="24"/>
          <w:szCs w:val="24"/>
        </w:rPr>
      </w:pPr>
    </w:p>
    <w:p w14:paraId="0BAF453C" w14:textId="77777777" w:rsidR="00430427" w:rsidRDefault="00430427" w:rsidP="000E5BBC">
      <w:pPr>
        <w:spacing w:line="240" w:lineRule="auto"/>
        <w:rPr>
          <w:rFonts w:ascii="Times New Roman" w:hAnsi="Times New Roman" w:cs="Times New Roman"/>
          <w:sz w:val="24"/>
          <w:szCs w:val="24"/>
        </w:rPr>
      </w:pPr>
    </w:p>
    <w:p w14:paraId="5DFFC92A" w14:textId="77777777" w:rsidR="00430427" w:rsidRDefault="00430427" w:rsidP="000E5BBC">
      <w:pPr>
        <w:spacing w:line="240" w:lineRule="auto"/>
        <w:rPr>
          <w:rFonts w:ascii="Times New Roman" w:hAnsi="Times New Roman" w:cs="Times New Roman"/>
          <w:sz w:val="24"/>
          <w:szCs w:val="24"/>
        </w:rPr>
      </w:pPr>
    </w:p>
    <w:p w14:paraId="38D53D34" w14:textId="77777777" w:rsidR="00430427" w:rsidRDefault="00430427" w:rsidP="000E5BBC">
      <w:pPr>
        <w:spacing w:line="240" w:lineRule="auto"/>
        <w:rPr>
          <w:rFonts w:ascii="Times New Roman" w:hAnsi="Times New Roman" w:cs="Times New Roman"/>
          <w:sz w:val="24"/>
          <w:szCs w:val="24"/>
        </w:rPr>
      </w:pPr>
    </w:p>
    <w:p w14:paraId="6799D1C6" w14:textId="77777777" w:rsidR="00430427" w:rsidRDefault="00430427" w:rsidP="000E5BBC">
      <w:pPr>
        <w:spacing w:line="240" w:lineRule="auto"/>
        <w:rPr>
          <w:rFonts w:ascii="Times New Roman" w:hAnsi="Times New Roman" w:cs="Times New Roman"/>
          <w:sz w:val="24"/>
          <w:szCs w:val="24"/>
        </w:rPr>
      </w:pPr>
    </w:p>
    <w:p w14:paraId="131189A0" w14:textId="77777777" w:rsidR="00430427" w:rsidRDefault="00430427" w:rsidP="000E5BBC">
      <w:pPr>
        <w:spacing w:line="240" w:lineRule="auto"/>
        <w:rPr>
          <w:rFonts w:ascii="Times New Roman" w:hAnsi="Times New Roman" w:cs="Times New Roman"/>
          <w:sz w:val="24"/>
          <w:szCs w:val="24"/>
        </w:rPr>
      </w:pPr>
    </w:p>
    <w:p w14:paraId="22D979CC" w14:textId="77777777" w:rsidR="00430427" w:rsidRDefault="00430427" w:rsidP="000E5BBC">
      <w:pPr>
        <w:spacing w:line="240" w:lineRule="auto"/>
        <w:rPr>
          <w:rFonts w:ascii="Times New Roman" w:hAnsi="Times New Roman" w:cs="Times New Roman"/>
          <w:sz w:val="24"/>
          <w:szCs w:val="24"/>
        </w:rPr>
      </w:pPr>
    </w:p>
    <w:p w14:paraId="0C224335" w14:textId="77777777" w:rsidR="00430427" w:rsidRDefault="00430427" w:rsidP="000E5BBC">
      <w:pPr>
        <w:spacing w:line="240" w:lineRule="auto"/>
        <w:rPr>
          <w:rFonts w:ascii="Times New Roman" w:hAnsi="Times New Roman" w:cs="Times New Roman"/>
          <w:sz w:val="24"/>
          <w:szCs w:val="24"/>
        </w:rPr>
      </w:pPr>
    </w:p>
    <w:p w14:paraId="1978EF4B" w14:textId="77777777" w:rsidR="00430427" w:rsidRDefault="00430427" w:rsidP="000E5BBC">
      <w:pPr>
        <w:spacing w:line="240" w:lineRule="auto"/>
        <w:rPr>
          <w:rFonts w:ascii="Times New Roman" w:hAnsi="Times New Roman" w:cs="Times New Roman"/>
          <w:sz w:val="24"/>
          <w:szCs w:val="24"/>
        </w:rPr>
      </w:pPr>
    </w:p>
    <w:p w14:paraId="4F80DC13" w14:textId="77777777" w:rsidR="00430427" w:rsidRDefault="00430427" w:rsidP="000E5BBC">
      <w:pPr>
        <w:spacing w:line="240" w:lineRule="auto"/>
        <w:rPr>
          <w:rFonts w:ascii="Times New Roman" w:hAnsi="Times New Roman" w:cs="Times New Roman"/>
          <w:sz w:val="24"/>
          <w:szCs w:val="24"/>
        </w:rPr>
      </w:pPr>
    </w:p>
    <w:p w14:paraId="15017E19" w14:textId="77777777" w:rsidR="00F26368" w:rsidRDefault="00F26368" w:rsidP="000E5BBC">
      <w:pPr>
        <w:spacing w:line="240" w:lineRule="auto"/>
        <w:rPr>
          <w:rFonts w:ascii="Times New Roman" w:hAnsi="Times New Roman" w:cs="Times New Roman"/>
          <w:sz w:val="24"/>
          <w:szCs w:val="24"/>
        </w:rPr>
      </w:pPr>
    </w:p>
    <w:p w14:paraId="7C506B13" w14:textId="77777777" w:rsidR="00F26368" w:rsidRDefault="00F26368" w:rsidP="000E5BBC">
      <w:pPr>
        <w:spacing w:line="240" w:lineRule="auto"/>
        <w:rPr>
          <w:rFonts w:ascii="Times New Roman" w:hAnsi="Times New Roman" w:cs="Times New Roman"/>
          <w:sz w:val="24"/>
          <w:szCs w:val="24"/>
        </w:rPr>
      </w:pPr>
    </w:p>
    <w:p w14:paraId="7D5D69E2" w14:textId="754F3FD3" w:rsidR="00AF3DAC" w:rsidRPr="000E5BBC" w:rsidRDefault="00F444A6" w:rsidP="000E5BBC">
      <w:pPr>
        <w:spacing w:line="240" w:lineRule="auto"/>
        <w:rPr>
          <w:rFonts w:ascii="Times New Roman" w:hAnsi="Times New Roman" w:cs="Times New Roman"/>
          <w:sz w:val="24"/>
          <w:szCs w:val="24"/>
        </w:rPr>
      </w:pPr>
      <w:r w:rsidRPr="000E5BBC">
        <w:rPr>
          <w:rFonts w:ascii="Times New Roman" w:hAnsi="Times New Roman" w:cs="Times New Roman"/>
          <w:sz w:val="24"/>
          <w:szCs w:val="24"/>
        </w:rPr>
        <w:t>Figura II. Características barométricas y citoquimicas de las punciones lumbares</w:t>
      </w:r>
    </w:p>
    <w:p w14:paraId="03B407BB" w14:textId="77777777" w:rsidR="00AF3DAC" w:rsidRPr="000E5BBC" w:rsidRDefault="00F444A6" w:rsidP="000E5BBC">
      <w:pPr>
        <w:spacing w:line="240" w:lineRule="auto"/>
        <w:rPr>
          <w:rFonts w:ascii="Times New Roman" w:hAnsi="Times New Roman" w:cs="Times New Roman"/>
          <w:sz w:val="24"/>
          <w:szCs w:val="24"/>
        </w:rPr>
      </w:pPr>
      <w:r w:rsidRPr="000E5BBC">
        <w:rPr>
          <w:rFonts w:ascii="Times New Roman" w:hAnsi="Times New Roman" w:cs="Times New Roman"/>
          <w:noProof/>
          <w:sz w:val="24"/>
          <w:szCs w:val="24"/>
        </w:rPr>
        <w:drawing>
          <wp:inline distT="0" distB="0" distL="0" distR="0" wp14:anchorId="0209A68F" wp14:editId="4747666F">
            <wp:extent cx="5219700" cy="265176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993187" w14:textId="24E65CFC" w:rsidR="00AF3DAC" w:rsidRPr="000E5BBC" w:rsidRDefault="00FD54E2" w:rsidP="000E5BBC">
      <w:pPr>
        <w:spacing w:line="240" w:lineRule="auto"/>
        <w:rPr>
          <w:rFonts w:ascii="Times New Roman" w:hAnsi="Times New Roman" w:cs="Times New Roman"/>
          <w:sz w:val="24"/>
          <w:szCs w:val="24"/>
        </w:rPr>
      </w:pPr>
      <w:r>
        <w:rPr>
          <w:sz w:val="16"/>
          <w:szCs w:val="16"/>
        </w:rPr>
        <w:t>Fuente: Base de datos. Registros médicos del Complejo Hospitalario Dr. Arnulfo Arias Madrid. Panamá 2017</w:t>
      </w:r>
    </w:p>
    <w:sectPr w:rsidR="00AF3DAC" w:rsidRPr="000E5BBC" w:rsidSect="000E5BBC">
      <w:pgSz w:w="12240" w:h="15840"/>
      <w:pgMar w:top="1418" w:right="1418" w:bottom="1418"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26A"/>
    <w:multiLevelType w:val="multilevel"/>
    <w:tmpl w:val="1CE4B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AC"/>
    <w:rsid w:val="000020CB"/>
    <w:rsid w:val="000E09B0"/>
    <w:rsid w:val="000E5BBC"/>
    <w:rsid w:val="00153869"/>
    <w:rsid w:val="001A03CB"/>
    <w:rsid w:val="001C118C"/>
    <w:rsid w:val="001E4D40"/>
    <w:rsid w:val="00207D90"/>
    <w:rsid w:val="00304960"/>
    <w:rsid w:val="00374D66"/>
    <w:rsid w:val="003A2163"/>
    <w:rsid w:val="003A36F1"/>
    <w:rsid w:val="003A3A45"/>
    <w:rsid w:val="00430427"/>
    <w:rsid w:val="004606A0"/>
    <w:rsid w:val="004D458C"/>
    <w:rsid w:val="005C45BF"/>
    <w:rsid w:val="005E5719"/>
    <w:rsid w:val="005F6885"/>
    <w:rsid w:val="006E4ECE"/>
    <w:rsid w:val="00787571"/>
    <w:rsid w:val="007E18D8"/>
    <w:rsid w:val="007F48C1"/>
    <w:rsid w:val="00867C5A"/>
    <w:rsid w:val="00877129"/>
    <w:rsid w:val="008A6966"/>
    <w:rsid w:val="00912A70"/>
    <w:rsid w:val="009355DD"/>
    <w:rsid w:val="00987747"/>
    <w:rsid w:val="009B768E"/>
    <w:rsid w:val="00A80F14"/>
    <w:rsid w:val="00AE03C9"/>
    <w:rsid w:val="00AF3DAC"/>
    <w:rsid w:val="00C26521"/>
    <w:rsid w:val="00CA56FD"/>
    <w:rsid w:val="00CA7AA2"/>
    <w:rsid w:val="00CC3C07"/>
    <w:rsid w:val="00CC5995"/>
    <w:rsid w:val="00CD23D9"/>
    <w:rsid w:val="00DF5927"/>
    <w:rsid w:val="00E03983"/>
    <w:rsid w:val="00E30318"/>
    <w:rsid w:val="00E60B9B"/>
    <w:rsid w:val="00F06F61"/>
    <w:rsid w:val="00F26368"/>
    <w:rsid w:val="00F444A6"/>
    <w:rsid w:val="00FD54E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PA" w:eastAsia="es-P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D0B47"/>
    <w:pPr>
      <w:ind w:left="720"/>
      <w:contextualSpacing/>
    </w:pPr>
  </w:style>
  <w:style w:type="paragraph" w:customStyle="1" w:styleId="Default">
    <w:name w:val="Default"/>
    <w:rsid w:val="0035652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C44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400"/>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444A6"/>
    <w:rPr>
      <w:color w:val="0563C1" w:themeColor="hyperlink"/>
      <w:u w:val="single"/>
    </w:rPr>
  </w:style>
  <w:style w:type="character" w:customStyle="1" w:styleId="Mencinsinresolver1">
    <w:name w:val="Mención sin resolver1"/>
    <w:basedOn w:val="Fuentedeprrafopredeter"/>
    <w:uiPriority w:val="99"/>
    <w:semiHidden/>
    <w:unhideWhenUsed/>
    <w:rsid w:val="00F444A6"/>
    <w:rPr>
      <w:color w:val="605E5C"/>
      <w:shd w:val="clear" w:color="auto" w:fill="E1DFDD"/>
    </w:rPr>
  </w:style>
  <w:style w:type="table" w:styleId="Tablaconcuadrcula">
    <w:name w:val="Table Grid"/>
    <w:basedOn w:val="Tablanormal"/>
    <w:uiPriority w:val="39"/>
    <w:rsid w:val="0091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PA" w:eastAsia="es-P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D0B47"/>
    <w:pPr>
      <w:ind w:left="720"/>
      <w:contextualSpacing/>
    </w:pPr>
  </w:style>
  <w:style w:type="paragraph" w:customStyle="1" w:styleId="Default">
    <w:name w:val="Default"/>
    <w:rsid w:val="0035652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C44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4400"/>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444A6"/>
    <w:rPr>
      <w:color w:val="0563C1" w:themeColor="hyperlink"/>
      <w:u w:val="single"/>
    </w:rPr>
  </w:style>
  <w:style w:type="character" w:customStyle="1" w:styleId="Mencinsinresolver1">
    <w:name w:val="Mención sin resolver1"/>
    <w:basedOn w:val="Fuentedeprrafopredeter"/>
    <w:uiPriority w:val="99"/>
    <w:semiHidden/>
    <w:unhideWhenUsed/>
    <w:rsid w:val="00F444A6"/>
    <w:rPr>
      <w:color w:val="605E5C"/>
      <w:shd w:val="clear" w:color="auto" w:fill="E1DFDD"/>
    </w:rPr>
  </w:style>
  <w:style w:type="table" w:styleId="Tablaconcuadrcula">
    <w:name w:val="Table Grid"/>
    <w:basedOn w:val="Tablanormal"/>
    <w:uiPriority w:val="39"/>
    <w:rsid w:val="0091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villarreal.md@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3293744531933505"/>
          <c:y val="6.7460317460317457E-2"/>
          <c:w val="0.53240740740740744"/>
          <c:h val="0.91269841269841268"/>
        </c:manualLayout>
      </c:layout>
      <c:pieChart>
        <c:varyColors val="1"/>
        <c:ser>
          <c:idx val="0"/>
          <c:order val="0"/>
          <c:tx>
            <c:strRef>
              <c:f>Hoja1!$B$1</c:f>
              <c:strCache>
                <c:ptCount val="1"/>
                <c:pt idx="0">
                  <c:v>Columna1</c:v>
                </c:pt>
              </c:strCache>
            </c:strRef>
          </c:tx>
          <c:spPr>
            <a:ln>
              <a:solidFill>
                <a:schemeClr val="tx1"/>
              </a:solidFill>
            </a:ln>
          </c:spPr>
          <c:dPt>
            <c:idx val="0"/>
            <c:bubble3D val="0"/>
            <c:spPr>
              <a:solidFill>
                <a:schemeClr val="accent1">
                  <a:shade val="53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E65-4A2C-9724-B92D0CF4E157}"/>
              </c:ext>
            </c:extLst>
          </c:dPt>
          <c:dPt>
            <c:idx val="1"/>
            <c:bubble3D val="0"/>
            <c:spPr>
              <a:solidFill>
                <a:schemeClr val="accent1">
                  <a:shade val="76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E65-4A2C-9724-B92D0CF4E157}"/>
              </c:ext>
            </c:extLst>
          </c:dPt>
          <c:dPt>
            <c:idx val="2"/>
            <c:bubble3D val="0"/>
            <c:spPr>
              <a:solidFill>
                <a:schemeClr val="accent1"/>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EE65-4A2C-9724-B92D0CF4E157}"/>
              </c:ext>
            </c:extLst>
          </c:dPt>
          <c:dPt>
            <c:idx val="3"/>
            <c:bubble3D val="0"/>
            <c:spPr>
              <a:solidFill>
                <a:schemeClr val="accent1">
                  <a:tint val="77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E65-4A2C-9724-B92D0CF4E157}"/>
              </c:ext>
            </c:extLst>
          </c:dPt>
          <c:dPt>
            <c:idx val="4"/>
            <c:bubble3D val="0"/>
            <c:spPr>
              <a:solidFill>
                <a:schemeClr val="accent1">
                  <a:tint val="54000"/>
                </a:schemeClr>
              </a:solidFill>
              <a:ln>
                <a:solidFill>
                  <a:schemeClr val="tx1"/>
                </a:solid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EE65-4A2C-9724-B92D0CF4E157}"/>
              </c:ext>
            </c:extLst>
          </c:dPt>
          <c:dLbls>
            <c:dLbl>
              <c:idx val="0"/>
              <c:layout>
                <c:manualLayout>
                  <c:x val="-8.4875562720133283E-17"/>
                  <c:y val="5.555555555555555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solidFill>
                          <a:sysClr val="windowText" lastClr="000000"/>
                        </a:solidFill>
                      </a:rPr>
                      <a:t>DESORIENTACION
</a:t>
                    </a:r>
                    <a:fld id="{19D44994-0B2B-418A-ACE3-896013C5D64C}" type="PERCENTAGE">
                      <a:rPr lang="en-US" baseline="0">
                        <a:solidFill>
                          <a:sysClr val="windowText" lastClr="000000"/>
                        </a:solidFill>
                      </a:rPr>
                      <a:pPr>
                        <a:defRPr sz="1000" b="1" i="0" u="none" strike="noStrike" kern="1200" spc="0" baseline="0">
                          <a:solidFill>
                            <a:schemeClr val="accent1"/>
                          </a:solidFill>
                          <a:latin typeface="+mn-lt"/>
                          <a:ea typeface="+mn-ea"/>
                          <a:cs typeface="+mn-cs"/>
                        </a:defRPr>
                      </a:pPr>
                      <a:t>[PORCENTAJE]</a:t>
                    </a:fld>
                    <a:endParaRPr lang="en-US" baseline="0">
                      <a:solidFill>
                        <a:sysClr val="windowText" lastClr="000000"/>
                      </a:solidFill>
                    </a:endParaRP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EE65-4A2C-9724-B92D0CF4E157}"/>
                </c:ext>
              </c:extLst>
            </c:dLbl>
            <c:dLbl>
              <c:idx val="1"/>
              <c:layout>
                <c:manualLayout>
                  <c:x val="-2.0833333333333332E-2"/>
                  <c:y val="-3.571428571428571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DC823AE-2044-475D-AA6C-6D33C72B111B}" type="CATEGORYNAME">
                      <a:rPr lang="en-US" b="1">
                        <a:solidFill>
                          <a:sysClr val="windowText" lastClr="000000"/>
                        </a:solidFill>
                      </a:rPr>
                      <a:pPr>
                        <a:defRPr sz="1000" b="1" i="0" u="none" strike="noStrike" kern="1200" spc="0" baseline="0">
                          <a:solidFill>
                            <a:schemeClr val="accent1"/>
                          </a:solidFill>
                          <a:latin typeface="+mn-lt"/>
                          <a:ea typeface="+mn-ea"/>
                          <a:cs typeface="+mn-cs"/>
                        </a:defRPr>
                      </a:pPr>
                      <a:t>[NOMBRE DE CATEGORÍA]</a:t>
                    </a:fld>
                    <a:r>
                      <a:rPr lang="en-US" b="1" baseline="0">
                        <a:solidFill>
                          <a:sysClr val="windowText" lastClr="000000"/>
                        </a:solidFill>
                      </a:rPr>
                      <a:t>
</a:t>
                    </a:r>
                    <a:fld id="{92761C04-FA2C-4A10-BD98-C58F7346C3DD}" type="PERCENTAGE">
                      <a:rPr lang="en-US" b="1" baseline="0">
                        <a:solidFill>
                          <a:sysClr val="windowText" lastClr="000000"/>
                        </a:solidFill>
                      </a:rPr>
                      <a:pPr>
                        <a:defRPr sz="1000" b="1" i="0" u="none" strike="noStrike" kern="1200" spc="0" baseline="0">
                          <a:solidFill>
                            <a:schemeClr val="accent1"/>
                          </a:solidFill>
                          <a:latin typeface="+mn-lt"/>
                          <a:ea typeface="+mn-ea"/>
                          <a:cs typeface="+mn-cs"/>
                        </a:defRPr>
                      </a:pPr>
                      <a:t>[PORCENTAJE]</a:t>
                    </a:fld>
                    <a:endParaRPr lang="en-US" b="1" baseline="0">
                      <a:solidFill>
                        <a:sysClr val="windowText" lastClr="000000"/>
                      </a:solidFill>
                    </a:endParaRP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EE65-4A2C-9724-B92D0CF4E157}"/>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solidFill>
                          <a:sysClr val="windowText" lastClr="000000"/>
                        </a:solidFill>
                      </a:rPr>
                      <a:t>SOMNOLIENTO
</a:t>
                    </a:r>
                    <a:fld id="{22202B82-9F93-4F3E-9F38-32AC2C2F3B79}" type="PERCENTAGE">
                      <a:rPr lang="en-US" baseline="0">
                        <a:solidFill>
                          <a:sysClr val="windowText" lastClr="000000"/>
                        </a:solidFill>
                      </a:rPr>
                      <a:pPr>
                        <a:defRPr sz="1000" b="1" i="0" u="none" strike="noStrike" kern="1200" spc="0" baseline="0">
                          <a:solidFill>
                            <a:schemeClr val="accent1"/>
                          </a:solidFill>
                          <a:latin typeface="+mn-lt"/>
                          <a:ea typeface="+mn-ea"/>
                          <a:cs typeface="+mn-cs"/>
                        </a:defRPr>
                      </a:pPr>
                      <a:t>[PORCENTAJE]</a:t>
                    </a:fld>
                    <a:endParaRPr lang="en-US" baseline="0">
                      <a:solidFill>
                        <a:sysClr val="windowText" lastClr="000000"/>
                      </a:solidFill>
                    </a:endParaRPr>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EE65-4A2C-9724-B92D0CF4E157}"/>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solidFill>
                          <a:sysClr val="windowText" lastClr="000000"/>
                        </a:solidFill>
                      </a:rPr>
                      <a:t>RIGIDEZ NUCAL
</a:t>
                    </a:r>
                    <a:fld id="{DBB39343-7BB6-4531-AF32-E607FBAC687E}" type="PERCENTAGE">
                      <a:rPr lang="en-US" baseline="0">
                        <a:solidFill>
                          <a:sysClr val="windowText" lastClr="000000"/>
                        </a:solidFill>
                      </a:rPr>
                      <a:pPr>
                        <a:defRPr sz="1000" b="1" i="0" u="none" strike="noStrike" kern="1200" spc="0" baseline="0">
                          <a:solidFill>
                            <a:schemeClr val="accent1"/>
                          </a:solidFill>
                          <a:latin typeface="+mn-lt"/>
                          <a:ea typeface="+mn-ea"/>
                          <a:cs typeface="+mn-cs"/>
                        </a:defRPr>
                      </a:pPr>
                      <a:t>[PORCENTAJE]</a:t>
                    </a:fld>
                    <a:endParaRPr lang="en-US" baseline="0">
                      <a:solidFill>
                        <a:sysClr val="windowText" lastClr="000000"/>
                      </a:solidFill>
                    </a:endParaRPr>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EE65-4A2C-9724-B92D0CF4E157}"/>
                </c:ext>
              </c:extLst>
            </c:dLbl>
            <c:dLbl>
              <c:idx val="4"/>
              <c:layout>
                <c:manualLayout>
                  <c:x val="0.21759259259259256"/>
                  <c:y val="-0.1587301587301588"/>
                </c:manualLayout>
              </c:layout>
              <c:tx>
                <c:rich>
                  <a:bodyPr rot="0" spcFirstLastPara="1" vertOverflow="ellipsis" vert="horz" wrap="square" lIns="38100" tIns="19050" rIns="38100" bIns="19050" anchor="ctr" anchorCtr="1">
                    <a:spAutoFit/>
                  </a:bodyPr>
                  <a:lstStyle/>
                  <a:p>
                    <a:pPr>
                      <a:defRPr sz="1000" b="1" i="0" u="none" strike="noStrike" kern="1200" spc="0" baseline="0">
                        <a:ln>
                          <a:solidFill>
                            <a:schemeClr val="tx1"/>
                          </a:solidFill>
                        </a:ln>
                        <a:solidFill>
                          <a:schemeClr val="tx1"/>
                        </a:solidFill>
                        <a:latin typeface="+mn-lt"/>
                        <a:ea typeface="+mn-ea"/>
                        <a:cs typeface="+mn-cs"/>
                      </a:defRPr>
                    </a:pPr>
                    <a:r>
                      <a:rPr lang="en-US" baseline="0">
                        <a:ln>
                          <a:solidFill>
                            <a:schemeClr val="tx1"/>
                          </a:solidFill>
                        </a:ln>
                        <a:solidFill>
                          <a:schemeClr val="tx1"/>
                        </a:solidFill>
                      </a:rPr>
                      <a:t>SIN ALTERACIONES 
</a:t>
                    </a:r>
                    <a:fld id="{39905F85-879D-4C63-832F-27DA3B6577B2}" type="PERCENTAGE">
                      <a:rPr lang="en-US" b="0" baseline="0">
                        <a:ln>
                          <a:solidFill>
                            <a:schemeClr val="tx1"/>
                          </a:solidFill>
                        </a:ln>
                        <a:solidFill>
                          <a:schemeClr val="tx1"/>
                        </a:solidFill>
                      </a:rPr>
                      <a:pPr>
                        <a:defRPr sz="1000" b="1" i="0" u="none" strike="noStrike" kern="1200" spc="0" baseline="0">
                          <a:ln>
                            <a:solidFill>
                              <a:schemeClr val="tx1"/>
                            </a:solidFill>
                          </a:ln>
                          <a:solidFill>
                            <a:schemeClr val="tx1"/>
                          </a:solidFill>
                          <a:latin typeface="+mn-lt"/>
                          <a:ea typeface="+mn-ea"/>
                          <a:cs typeface="+mn-cs"/>
                        </a:defRPr>
                      </a:pPr>
                      <a:t>[PORCENTAJE]</a:t>
                    </a:fld>
                    <a:endParaRPr lang="en-US" baseline="0">
                      <a:ln>
                        <a:solidFill>
                          <a:schemeClr val="tx1"/>
                        </a:solidFill>
                      </a:ln>
                      <a:solidFill>
                        <a:schemeClr val="tx1"/>
                      </a:solidFill>
                    </a:endParaRP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EE65-4A2C-9724-B92D0CF4E15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DISORIENTATION</c:v>
                </c:pt>
                <c:pt idx="1">
                  <c:v>IRRITABLE</c:v>
                </c:pt>
                <c:pt idx="2">
                  <c:v>SOMNOLENT</c:v>
                </c:pt>
                <c:pt idx="3">
                  <c:v>NUCHAL STIFFNESS</c:v>
                </c:pt>
                <c:pt idx="4">
                  <c:v>WITHOUT MODIFICATIONS</c:v>
                </c:pt>
              </c:strCache>
            </c:strRef>
          </c:cat>
          <c:val>
            <c:numRef>
              <c:f>Hoja1!$B$2:$B$6</c:f>
              <c:numCache>
                <c:formatCode>General</c:formatCode>
                <c:ptCount val="5"/>
                <c:pt idx="0">
                  <c:v>17</c:v>
                </c:pt>
                <c:pt idx="1">
                  <c:v>12</c:v>
                </c:pt>
                <c:pt idx="2">
                  <c:v>6</c:v>
                </c:pt>
                <c:pt idx="3">
                  <c:v>6</c:v>
                </c:pt>
                <c:pt idx="4">
                  <c:v>59</c:v>
                </c:pt>
              </c:numCache>
            </c:numRef>
          </c:val>
          <c:extLst xmlns:c16r2="http://schemas.microsoft.com/office/drawing/2015/06/chart">
            <c:ext xmlns:c16="http://schemas.microsoft.com/office/drawing/2014/chart" uri="{C3380CC4-5D6E-409C-BE32-E72D297353CC}">
              <c16:uniqueId val="{00000000-EE65-4A2C-9724-B92D0CF4E15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OPENING PRESSURE (cmH2O)</c:v>
                </c:pt>
              </c:strCache>
            </c:strRef>
          </c:tx>
          <c:spPr>
            <a:ln w="28575" cap="rnd">
              <a:solidFill>
                <a:schemeClr val="accent1"/>
              </a:solidFill>
              <a:round/>
            </a:ln>
            <a:effectLst/>
          </c:spPr>
          <c:marker>
            <c:symbol val="none"/>
          </c:marker>
          <c:cat>
            <c:strRef>
              <c:f>Hoja1!$A$2:$A$6</c:f>
              <c:strCache>
                <c:ptCount val="5"/>
                <c:pt idx="0">
                  <c:v>LP 1</c:v>
                </c:pt>
                <c:pt idx="1">
                  <c:v>LP 2</c:v>
                </c:pt>
                <c:pt idx="2">
                  <c:v>LP 3</c:v>
                </c:pt>
                <c:pt idx="3">
                  <c:v>LP 4</c:v>
                </c:pt>
                <c:pt idx="4">
                  <c:v>LP 5</c:v>
                </c:pt>
              </c:strCache>
            </c:strRef>
          </c:cat>
          <c:val>
            <c:numRef>
              <c:f>Hoja1!$B$2:$B$6</c:f>
              <c:numCache>
                <c:formatCode>General</c:formatCode>
                <c:ptCount val="5"/>
                <c:pt idx="0">
                  <c:v>28.5</c:v>
                </c:pt>
                <c:pt idx="1">
                  <c:v>27</c:v>
                </c:pt>
                <c:pt idx="2">
                  <c:v>17</c:v>
                </c:pt>
                <c:pt idx="3">
                  <c:v>26.5</c:v>
                </c:pt>
                <c:pt idx="4">
                  <c:v>16</c:v>
                </c:pt>
              </c:numCache>
            </c:numRef>
          </c:val>
          <c:smooth val="0"/>
          <c:extLst xmlns:c16r2="http://schemas.microsoft.com/office/drawing/2015/06/chart">
            <c:ext xmlns:c16="http://schemas.microsoft.com/office/drawing/2014/chart" uri="{C3380CC4-5D6E-409C-BE32-E72D297353CC}">
              <c16:uniqueId val="{00000000-9361-45B6-9C22-89DBD1EF67CB}"/>
            </c:ext>
          </c:extLst>
        </c:ser>
        <c:ser>
          <c:idx val="1"/>
          <c:order val="1"/>
          <c:tx>
            <c:strRef>
              <c:f>Hoja1!$C$1</c:f>
              <c:strCache>
                <c:ptCount val="1"/>
                <c:pt idx="0">
                  <c:v>LEUCOS (mm3)</c:v>
                </c:pt>
              </c:strCache>
            </c:strRef>
          </c:tx>
          <c:spPr>
            <a:ln w="28575" cap="rnd">
              <a:solidFill>
                <a:schemeClr val="accent2"/>
              </a:solidFill>
              <a:round/>
            </a:ln>
            <a:effectLst/>
          </c:spPr>
          <c:marker>
            <c:symbol val="none"/>
          </c:marker>
          <c:cat>
            <c:strRef>
              <c:f>Hoja1!$A$2:$A$6</c:f>
              <c:strCache>
                <c:ptCount val="5"/>
                <c:pt idx="0">
                  <c:v>LP 1</c:v>
                </c:pt>
                <c:pt idx="1">
                  <c:v>LP 2</c:v>
                </c:pt>
                <c:pt idx="2">
                  <c:v>LP 3</c:v>
                </c:pt>
                <c:pt idx="3">
                  <c:v>LP 4</c:v>
                </c:pt>
                <c:pt idx="4">
                  <c:v>LP 5</c:v>
                </c:pt>
              </c:strCache>
            </c:strRef>
          </c:cat>
          <c:val>
            <c:numRef>
              <c:f>Hoja1!$C$2:$C$6</c:f>
              <c:numCache>
                <c:formatCode>General</c:formatCode>
                <c:ptCount val="5"/>
                <c:pt idx="0">
                  <c:v>35</c:v>
                </c:pt>
                <c:pt idx="1">
                  <c:v>37</c:v>
                </c:pt>
                <c:pt idx="2">
                  <c:v>43.5</c:v>
                </c:pt>
                <c:pt idx="3">
                  <c:v>7.5</c:v>
                </c:pt>
                <c:pt idx="4">
                  <c:v>6</c:v>
                </c:pt>
              </c:numCache>
            </c:numRef>
          </c:val>
          <c:smooth val="0"/>
          <c:extLst xmlns:c16r2="http://schemas.microsoft.com/office/drawing/2015/06/chart">
            <c:ext xmlns:c16="http://schemas.microsoft.com/office/drawing/2014/chart" uri="{C3380CC4-5D6E-409C-BE32-E72D297353CC}">
              <c16:uniqueId val="{00000001-9361-45B6-9C22-89DBD1EF67CB}"/>
            </c:ext>
          </c:extLst>
        </c:ser>
        <c:ser>
          <c:idx val="2"/>
          <c:order val="2"/>
          <c:tx>
            <c:strRef>
              <c:f>Hoja1!$D$1</c:f>
              <c:strCache>
                <c:ptCount val="1"/>
                <c:pt idx="0">
                  <c:v>GLUCOSE (mg/dL)</c:v>
                </c:pt>
              </c:strCache>
            </c:strRef>
          </c:tx>
          <c:spPr>
            <a:ln w="28575" cap="rnd">
              <a:solidFill>
                <a:schemeClr val="accent3"/>
              </a:solidFill>
              <a:round/>
            </a:ln>
            <a:effectLst/>
          </c:spPr>
          <c:marker>
            <c:symbol val="none"/>
          </c:marker>
          <c:cat>
            <c:strRef>
              <c:f>Hoja1!$A$2:$A$6</c:f>
              <c:strCache>
                <c:ptCount val="5"/>
                <c:pt idx="0">
                  <c:v>LP 1</c:v>
                </c:pt>
                <c:pt idx="1">
                  <c:v>LP 2</c:v>
                </c:pt>
                <c:pt idx="2">
                  <c:v>LP 3</c:v>
                </c:pt>
                <c:pt idx="3">
                  <c:v>LP 4</c:v>
                </c:pt>
                <c:pt idx="4">
                  <c:v>LP 5</c:v>
                </c:pt>
              </c:strCache>
            </c:strRef>
          </c:cat>
          <c:val>
            <c:numRef>
              <c:f>Hoja1!$D$2:$D$6</c:f>
              <c:numCache>
                <c:formatCode>General</c:formatCode>
                <c:ptCount val="5"/>
                <c:pt idx="0">
                  <c:v>42</c:v>
                </c:pt>
                <c:pt idx="1">
                  <c:v>35</c:v>
                </c:pt>
                <c:pt idx="2">
                  <c:v>26</c:v>
                </c:pt>
                <c:pt idx="3">
                  <c:v>34</c:v>
                </c:pt>
                <c:pt idx="4">
                  <c:v>10</c:v>
                </c:pt>
              </c:numCache>
            </c:numRef>
          </c:val>
          <c:smooth val="0"/>
          <c:extLst xmlns:c16r2="http://schemas.microsoft.com/office/drawing/2015/06/chart">
            <c:ext xmlns:c16="http://schemas.microsoft.com/office/drawing/2014/chart" uri="{C3380CC4-5D6E-409C-BE32-E72D297353CC}">
              <c16:uniqueId val="{00000002-9361-45B6-9C22-89DBD1EF67CB}"/>
            </c:ext>
          </c:extLst>
        </c:ser>
        <c:ser>
          <c:idx val="3"/>
          <c:order val="3"/>
          <c:tx>
            <c:strRef>
              <c:f>Hoja1!$E$1</c:f>
              <c:strCache>
                <c:ptCount val="1"/>
                <c:pt idx="0">
                  <c:v>PROTEIN (g/L)</c:v>
                </c:pt>
              </c:strCache>
            </c:strRef>
          </c:tx>
          <c:spPr>
            <a:ln w="28575" cap="rnd">
              <a:solidFill>
                <a:schemeClr val="accent4"/>
              </a:solidFill>
              <a:round/>
            </a:ln>
            <a:effectLst/>
          </c:spPr>
          <c:marker>
            <c:symbol val="none"/>
          </c:marker>
          <c:cat>
            <c:strRef>
              <c:f>Hoja1!$A$2:$A$6</c:f>
              <c:strCache>
                <c:ptCount val="5"/>
                <c:pt idx="0">
                  <c:v>LP 1</c:v>
                </c:pt>
                <c:pt idx="1">
                  <c:v>LP 2</c:v>
                </c:pt>
                <c:pt idx="2">
                  <c:v>LP 3</c:v>
                </c:pt>
                <c:pt idx="3">
                  <c:v>LP 4</c:v>
                </c:pt>
                <c:pt idx="4">
                  <c:v>LP 5</c:v>
                </c:pt>
              </c:strCache>
            </c:strRef>
          </c:cat>
          <c:val>
            <c:numRef>
              <c:f>Hoja1!$E$2:$E$6</c:f>
              <c:numCache>
                <c:formatCode>General</c:formatCode>
                <c:ptCount val="5"/>
                <c:pt idx="0">
                  <c:v>124</c:v>
                </c:pt>
                <c:pt idx="1">
                  <c:v>82</c:v>
                </c:pt>
                <c:pt idx="2">
                  <c:v>95</c:v>
                </c:pt>
                <c:pt idx="3">
                  <c:v>53</c:v>
                </c:pt>
                <c:pt idx="4">
                  <c:v>144</c:v>
                </c:pt>
              </c:numCache>
            </c:numRef>
          </c:val>
          <c:smooth val="0"/>
          <c:extLst xmlns:c16r2="http://schemas.microsoft.com/office/drawing/2015/06/chart">
            <c:ext xmlns:c16="http://schemas.microsoft.com/office/drawing/2014/chart" uri="{C3380CC4-5D6E-409C-BE32-E72D297353CC}">
              <c16:uniqueId val="{00000003-9361-45B6-9C22-89DBD1EF67CB}"/>
            </c:ext>
          </c:extLst>
        </c:ser>
        <c:dLbls>
          <c:showLegendKey val="0"/>
          <c:showVal val="0"/>
          <c:showCatName val="0"/>
          <c:showSerName val="0"/>
          <c:showPercent val="0"/>
          <c:showBubbleSize val="0"/>
        </c:dLbls>
        <c:marker val="1"/>
        <c:smooth val="0"/>
        <c:axId val="216864256"/>
        <c:axId val="216865792"/>
      </c:lineChart>
      <c:catAx>
        <c:axId val="21686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A"/>
          </a:p>
        </c:txPr>
        <c:crossAx val="216865792"/>
        <c:crosses val="autoZero"/>
        <c:auto val="1"/>
        <c:lblAlgn val="ctr"/>
        <c:lblOffset val="100"/>
        <c:noMultiLvlLbl val="0"/>
      </c:catAx>
      <c:valAx>
        <c:axId val="21686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A"/>
          </a:p>
        </c:txPr>
        <c:crossAx val="2168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A"/>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ObttAGayPtDDCLXkxLOa9cc9w==">AMUW2mU6L/EzRU0RwgBSHcZDVadsXB9NipjYromK2F2zokkZnjvBH7aNSfAUMqLNXGPrPRhtMoEbETPedbnRMp0JChWiFTUMEdR+oU+PlEFAspuECPqWUeVXk2JkOpuUlO3CizzYVD/0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Olmedo Villarreal</dc:creator>
  <cp:lastModifiedBy>Cesar Cuero</cp:lastModifiedBy>
  <cp:revision>3</cp:revision>
  <dcterms:created xsi:type="dcterms:W3CDTF">2020-03-21T18:58:00Z</dcterms:created>
  <dcterms:modified xsi:type="dcterms:W3CDTF">2020-03-21T19:10:00Z</dcterms:modified>
</cp:coreProperties>
</file>